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梅州市信用评级报告(区域部分)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梅州经济总量列广东省第17位，人均GDP约4.14万元、人均经济实力在省内相对靠后，经济增速由6.72%回落至5.80%、有所放缓；固定资产投资连续负增长（最新-6.20%），经济动能仍有待修复。【待补充：梅州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梅州市2023、2024、2025年地区生产总值分别为1,464.31亿元、1,508.18亿元、1,583.23亿元，同比增长6.72%、3.60%、5.80%。截至2025年末，全市常住人口381.56万人，人均GDP约4.14万元。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产业结构方面，2025年梅州市三次产业结构为17.9:29.7:52.4。【待补充：支柱产业、主要龙头企业、对外贸易等定性描述（数据库未覆盖）】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2023、2024、2025年固定资产投资增速分别为7.60%、-1.01%、-6.20%，2025年社会消费品零售总额552.68亿元，进出口总额14.99亿美元。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图表：2025年广东省各地级市主要经济指标对比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深圳市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38,731.80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0.1:37.4:62.5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4,163.77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1824.85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广州市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32,039.46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0.99:24.06:74.95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2,184.82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1910.10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佛山市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13,157.35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1.9:49.6:48.5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800.27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东莞市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12,760.20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0.3:56.1:43.6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891.73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1080.04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惠州市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6,363.66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5.24:53.18:41.58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538.68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619.30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珠海市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4,573.10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494.10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江门市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4,293.91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8.7:43.1:48.2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324.85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482.85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中山市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4,260.56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380.01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茂名市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4,106.40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18.1:27.3:54.5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186.64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626.46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湛江市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3,952.94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18.6:32.6:48.8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712.29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汕头市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3,023.83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4.7:37.6:57.7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170.33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557.69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肇庆市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2,974.84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240.19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揭阳市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2,553.75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9.7:35:55.3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130.12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568.72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清远市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2,317.47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208.12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韶关市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1,705.10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15.2:31.1:53.7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120.14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283.39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阳江市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1,671.22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115.37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262.86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梅州市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1,583.23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17.9:29.7:52.4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121.35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381.56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汕尾市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1,546.30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潮州市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1,452.17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9.8:44.5:45.7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257.88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河源市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1,434.57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13.3:33.7:53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95.34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281.42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云浮市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1,344.87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18.1:26.3:55.6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238.96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梅州市2025年GDP总量1,583.23亿元、列全省第17位，一般公共预算收入121.35亿元、列全省第15位。整体来看，梅州市经济基本面在广东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梅州市财政体量在广东省处于中游，税收占比52.31%、税收占比处于一般水平，但政府性基金收入较2023年累计下降58%、土地财政贡献度弱化；2025年末宽口径债务率162.11%、处于可控水平，整体处于可控水平。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梅州市一般公共预算收入分别为92.72亿元、98.78亿元、121.35亿元，其中税收收入51.24亿元、46.91亿元、63.47亿元，税收占比维持在55.26%、47.49%、52.31%；一般公共预算支出425.16亿元、446.90亿元、474.32亿元，财政自给率21.81%、22.10%、25.58%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政府性基金收入方面，2023、2024、2025年分别为25.17亿元、20.55亿元、10.47亿元，政府性基金收入较2023年累计下降58%、土地财政贡献度弱化，反映地方综合财力对房地产周期的敞口。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图表：2023-2025年梅州市财政收入情况(单位:亿元、%)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92.72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10.41%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98.78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121.35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22.85%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-8.45%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35.30%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55.26%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47.49%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52.31%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425.16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446.90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474.32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21.81%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25.58%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-18.36%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-49.05%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资料来源:梅州市财政决算、企业预警通,风控信评部整理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土地市场方面，【待补充:梅州市土地出让与房地产销售数据（土地市场数据库未覆盖该市）】。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梅州市地方政府债务余额分别为813.43亿元、935.60亿元、1,042.34亿元，2025年末债务限额1,046.57亿元，债务余额控制在限额以内；城投有息债务2025年末估算余额107.10亿元。债务率指标看，2025年末政府债务率147.00%、城投债务率15.10%、宽口径债务率162.11%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梅州市财政基本盘总体稳健，但土地财政收缩与债务规模扩张是当前主要压力线；我们预计宽口径债务率短期内将维持可控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