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汕头市信用评级报告(区域部分)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汕头经济总量列广东省第11位，人均GDP约5.42万元、人均经济实力在省内相对靠后，经济增速由4.32%回落至0.10%、有所放缓；固定资产投资连续负增长（最新-58.20%），经济动能仍有待修复。【待补充：汕头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汕头市2023、2024、2025年地区生产总值分别为3,206.39亿元、3,167.97亿元、3,023.83亿元，同比增长4.32%、0.02%、0.10%。截至2025年末，全市常住人口557.69万人，人均GDP约5.42万元。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产业结构方面，2025年汕头市三次产业结构为4.7:37.6:57.7。【待补充：支柱产业、主要龙头企业、对外贸易等定性描述（数据库未覆盖）】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2023、2024、2025年固定资产投资增速分别为9.20%、-3.04%、-58.20%，2025年社会消费品零售总额1,483.23亿元，进出口总额72.55亿美元。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汕头市2025年GDP总量3,023.83亿元、列全省第11位，一般公共预算收入170.33亿元、列全省第13位。整体来看，汕头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汕头市财政体量在广东省处于中游，税收占比68.93%、税收质量较好，但政府性基金收入较2023年累计增长45%；2025年末宽口径债务率580.57%、处于偏高水平，已显著高于公认的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汕头市一般公共预算收入分别为133.10亿元、139.90亿元、170.33亿元，其中税收收入83.69亿元、78.90亿元、117.41亿元，税收占比维持在62.88%、56.40%、68.93%；一般公共预算支出372.50亿元、385.10亿元、386.13亿元，财政自给率35.73%、36.33%、44.11%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政府性基金收入方面，2023、2024、2025年分别为69.60亿元、110.40亿元、100.68亿元，政府性基金收入较2023年累计增长45%，反映地方综合财力对房地产周期的敞口。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图表：2023-2025年汕头市财政收入情况(单位:亿元、%)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48.81%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-8.80%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资料来源:汕头市财政决算、企业预警通,风控信评部整理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土地市场方面，【待补充:汕头市土地出让与房地产销售数据（土地市场数据库未覆盖该市）】。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汕头市地方政府债务余额分别为1,012.32亿元、1,207.37亿元、1,396.89亿元，2025年末债务限额1,402.13亿元，债务余额控制在限额以内；城投有息债务2025年末估算余额186.09亿元。债务率指标看，2025年末政府债务率512.32%、城投债务率68.25%、宽口径债务率580.57%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汕头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