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汕尾市信用评级报告(区域部分)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汕尾经济总量列广东省第18位，人均GDP约—万元、人均经济实力居省内中游，经济增速由5.04%回落至4.20%、有所放缓；固定资产投资连续负增长（最新-22.40%），经济动能仍有待修复。【待补充：汕尾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汕尾市2023、2024、2025年地区生产总值分别为1,444.62亿元、1,493.53亿元、1,546.30亿元，同比增长5.04%、3.80%、4.20%。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产业结构方面，2025年汕尾市三次产业结构为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2023、2024、2025年固定资产投资增速分别为-3.30%、-10.58%、-22.40%，2025年社会消费品零售总额528.03亿元，进出口总额22.88亿美元。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汕尾市2025年GDP总量1,546.30亿元、列全省第18位，一般公共预算收入90.38亿元、列全省第19位。整体来看，汕尾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汕尾市财政体量在广东省处于中游，税收占比48.67%、税收占比处于一般水平，但政府性基金收入总体平稳；2025年末宽口径债务率205.75%、处于中等偏高水平，处于相对偏高区间，需关注债务扩张节奏。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汕尾市一般公共预算收入分别为66.52亿元、74.27亿元、90.38亿元，其中税收收入31.74亿元、29.53亿元、43.98亿元，税收占比维持在47.71%、39.76%、48.67%；一般公共预算支出266.44亿元、282.97亿元、297.93亿元，财政自给率24.97%、26.25%、30.33%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政府性基金收入方面，2023、2024、2025年分别为29.72亿元、27.74亿元、31.38亿元，政府性基金收入总体平稳，反映地方综合财力对房地产周期的敞口。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图表：2023-2025年汕尾市财政收入情况(单位:亿元、%)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297.93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资料来源:汕尾市财政决算、企业预警通,风控信评部整理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土地市场方面，【待补充:汕尾市土地出让与房地产销售数据（土地市场数据库未覆盖该市）】。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汕尾市地方政府债务余额分别为596.20亿元、707.90亿元、832.11亿元，2025年末债务限额835.44亿元，债务余额控制在限额以内；城投有息债务2025年末估算余额53.40亿元。债务率指标看，2025年末政府债务率193.34%、城投债务率12.41%、宽口径债务率205.75%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汕尾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