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江门市信用评级报告(区域部分)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江门经济总量列广东省第七位，人均GDP约8.90万元、人均经济实力居全省中游，经济增速由5.59%回落至2.80%、有所放缓；固定资产投资连续负增长（最新-25.60%），经济动能仍有待修复。【待补充：江门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江门市2023、2024、2025年地区生产总值分别为4,106.58亿元、4,210.18亿元、4,293.91亿元，同比增长5.59%、3.37%、2.80%。截至2025年末，全市常住人口482.85万人，人均GDP约8.90万元。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产业结构方面，2025年江门市三次产业结构为8.7:43.1:48.2。【待补充：支柱产业、主要龙头企业、对外贸易等定性描述（数据库未覆盖）】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2023、2024、2025年固定资产投资增速分别为0.10%、-12.80%、-25.60%，2025年社会消费品零售总额1,307.95亿元，进出口总额276.88亿美元。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图表：2025年广东省各地级市主要经济指标对比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深圳市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38,731.80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0.1:37.4:62.5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4,163.77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1824.85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32,039.46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0.99:24.06:74.95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2,184.82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1910.10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佛山市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13,157.35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1.9:49.6:48.5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东莞市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12,760.20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0.3:56.1:43.6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891.73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1080.04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6,363.66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5.24:53.18:41.58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珠海市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4,573.10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江门市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4,293.91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4,260.56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茂名市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4,106.40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18.1:27.3:54.5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626.46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湛江市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3,952.94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18.6:32.6:48.8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712.29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3,023.83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4.7:37.6:57.7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557.69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肇庆市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2,974.84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揭阳市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9.7:35:55.3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568.72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清远市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2,317.47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208.12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韶关市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15.2:31.1:53.7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283.39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1,671.22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262.86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梅州市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1,583.23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17.9:29.7:52.4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121.35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381.56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汕尾市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1,546.30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潮州市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9.8:44.5:45.7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河源市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1,434.57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13.3:33.7:53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281.42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云浮市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1,344.87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18.1:26.3:55.6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238.96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江门市2025年GDP总量4,293.91亿元、列全省第七位，一般公共预算收入324.85亿元、列全省第八位。整体来看，江门市经济基本面在广东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江门市财政体量在广东省处于中游，税收占比59.14%、税收占比处于一般水平，但政府性基金收入总体平稳；2025年末宽口径债务率532.81%、处于偏高水平，已显著高于公认的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江门市一般公共预算收入分别为277.17亿元、277.60亿元、324.85亿元，其中税收收入154.24亿元、150.47亿元、192.12亿元，税收占比维持在55.65%、54.20%、59.14%；一般公共预算支出455.24亿元、456.38亿元、462.54亿元，财政自给率60.88%、60.83%、70.23%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政府性基金收入方面，2023、2024、2025年分别为120.05亿元、86.72亿元、120.01亿元，政府性基金收入总体平稳，反映地方综合财力对房地产周期的敞口。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图表：2023-2025年江门市财政收入情况(单位:亿元、%)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27.68%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462.54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-27.76%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38.39%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资料来源:江门市财政决算、企业预警通,风控信评部整理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土地市场方面，【待补充:江门市土地出让与房地产销售数据（土地市场数据库未覆盖该市）】。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江门市地方政府债务余额分别为1,087.69亿元、1,260.40亿元、1,455.81亿元，2025年末债务限额1,460.75亿元，债务余额控制在限额以内；城投有息债务2025年末估算余额926.11亿元。债务率指标看，2025年末政府债务率325.65%、城投债务率207.16%、宽口径债务率532.81%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江门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