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河源市信用评级报告(区域部分)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河源经济总量列广东省第20位，人均GDP约5.08万元、人均经济实力在省内相对靠后，经济增速由4.10%回落至3.30%、有所放缓；固定资产投资连续负增长（最新-16.50%），经济动能仍有待修复。【待补充：河源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河源市2023、2024、2025年地区生产总值分别为1,386.26亿元、1,407.72亿元、1,434.57亿元，同比增长4.10%、2.17%、3.30%。截至2025年末，全市常住人口281.42万人，人均GDP约5.08万元。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产业结构方面，2025年河源市三次产业结构为13.3:33.7:53。【待补充：支柱产业、主要龙头企业、对外贸易等定性描述（数据库未覆盖）】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2023、2024、2025年固定资产投资增速分别为11.00%、-11.55%、-16.50%，2025年社会消费品零售总额449.61亿元，进出口总额32.89亿美元。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河源市2025年GDP总量1,434.57亿元、列全省第20位，一般公共预算收入95.34亿元、列全省第18位。整体来看，河源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河源市财政体量在广东省处于中游，税收占比56.17%、税收占比处于一般水平；2025年末宽口径债务率979.46%、处于偏高水平，已显著高于公认的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河源市一般公共预算收入分别为72.90亿元、76.04亿元、95.34亿元，其中税收收入38.17亿元、35.24亿元、53.55亿元，税收占比维持在52.36%、46.34%、56.17%；一般公共预算支出335.90亿元、370.69亿元、386.30亿元，财政自给率21.70%、20.51%、24.68%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政府性基金收入方面，2023年分别为14.62亿元。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图表：2023-2025年河源市财政收入情况(单位:亿元、%)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资料来源:河源市财政决算、企业预警通,风控信评部整理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土地市场方面，【待补充:河源市土地出让与房地产销售数据（土地市场数据库未覆盖该市）】。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河源市地方政府债务余额分别为652.28亿元、752.24亿元、830.77亿元，2025年末债务限额833.51亿元，债务余额控制在限额以内；城投有息债务2025年末估算余额103.00亿元。债务率指标看，2025年末政府债务率871.42%、城投债务率108.04%、宽口径债务率979.46%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河源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