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深圳市信用评级报告(区域部分)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深圳经济总量在广东省稳居第一，人均GDP约21.38万元、人均经济实力居全省前列，经济增速由5.95%回落至5.50%、有所放缓；固定资产投资最新增速转负（-21.70%），经济动能仍有待修复。【待补充：深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深圳市2023、2024、2025年地区生产总值分别为34,903.27亿元、36,801.87亿元、38,731.80亿元，同比增长5.95%、5.76%、5.50%。截至2025年末，全市常住人口1824.85万人，人均GDP约21.38万元。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产业结构方面，2025年深圳市三次产业结构为0.1:37.4:62.5。【待补充：支柱产业、主要龙头企业、对外贸易等定性描述（数据库未覆盖）】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2023、2024、2025年固定资产投资增速分别为11.00%、2.44%、-21.70%，2025年社会消费品零售总额10,259.93亿元，进出口总额6,374.71亿美元。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深圳市2025年GDP总量38,731.80亿元、列全省第一位，一般公共预算收入4,163.77亿元、列全省第一位。整体来看，深圳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深圳市财政体量在广东省稳居第一，税收占比84.31%、税收质量较好，但政府性基金收入较2023年累计下降24%、土地财政贡献度弱化；2025年末宽口径债务率147.38%、处于可控水平，整体处于可控水平。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深圳市一般公共预算收入分别为4,112.92亿元、3,914.79亿元、4,163.77亿元，其中税收收入3,467.68亿元、3,265.73亿元、3,510.62亿元，税收占比维持在84.31%、83.42%、84.31%；一般公共预算支出5,012.43亿元、4,700.86亿元、4,502.55亿元，财政自给率82.05%、83.28%、92.48%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政府性基金收入方面，2023、2024、2025年分别为875.53亿元、474.96亿元、666.96亿元，政府性基金收入较2023年累计下降24%、土地财政贡献度弱化，反映地方综合财力对房地产周期的敞口。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图表：2023-2025年深圳市财政收入情况(单位:亿元、%)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4,112.92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3,914.79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3,467.68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3,265.73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5,012.43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4,700.86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875.53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-45.75%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资料来源:深圳市财政决算、企业预警通,风控信评部整理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深圳市经营性用地成交价分别为1,120.65亿元、902.53亿元、426.86亿元、415.90亿元、365.18亿元，2025年较2021年下降67.41%；同期平均溢价率为9.69%、7.38%、7.29%、19.62%、25.24%；成交楼面均价由8,956元/㎡降至7,698元/㎡、累计下降14.05%。2026年1-4月，深圳市经营性用地累计成交18宗、规划建面113.92万㎡、成交价39.75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图表:2021-2025年深圳市土地出让情况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1,251.27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1,120.65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1,731.41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902.53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1,242.48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426.86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685.60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415.90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474.41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7,698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25.24%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365.18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39.75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深圳市商品住宅成交面积由485.95万㎡变动至389.26万㎡、累计下降19.9%；新房均价2025年为54,071元/㎡、较2022年高点(70,299元/㎡)累计下跌23.08%；2025年去化周期46.92个月。据中指冰山指数(最低挂牌价口径)，深圳二手房挂牌价较2021年2月高点累计下跌36.70%，2023年累计跌幅-7.19%、2024年累计跌幅-13.30%、2025年累计跌幅-10.35%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深圳市地方政府债务余额分别为2,692.43亿元、3,449.81亿元、4,492.30亿元，2025年末债务限额4,557.18亿元，债务余额控制在限额以内；城投有息债务2025年末估算余额4,483.60亿元。债务率指标看，2025年末政府债务率73.76%、城投债务率73.62%、宽口径债务率147.38%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深圳市财政基本盘较为扎实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