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湛江市信用评级报告(区域部分)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湛江经济总量列广东省第十位，人均GDP约5.55万元、人均经济实力在省内相对靠后，经济增速由3.10%回升至4.52%、动能边际改善；固定资产投资连续负增长（最新-13.00%），经济动能仍有待修复。【待补充：湛江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湛江市2023、2024、2025年地区生产总值分别为3,829.58亿元、3,830.14亿元、3,952.94亿元，同比增长3.10%、1.20%、4.52%。截至2025年末，全市常住人口712.29万人，人均GDP约5.55万元。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产业结构方面，2025年湛江市三次产业结构为18.6:32.6:48.8。【待补充：支柱产业、主要龙头企业、对外贸易等定性描述（数据库未覆盖）】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2023、2024、2025年固定资产投资增速分别为3.20%、-11.34%、-13.00%，2025年社会消费品零售总额1,620.06亿元，进出口总额88.00亿美元。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图表：2025年广东省各地级市主要经济指标对比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深圳市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38,731.80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0.1:37.4:62.5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4,163.77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1824.85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广州市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32,039.46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0.99:24.06:74.95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2,184.82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1910.10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佛山市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13,157.35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1.9:49.6:48.5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800.27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东莞市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12,760.20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11.94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0.3:56.1:43.6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891.73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1080.04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惠州市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6,363.66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5.24:53.18:41.58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538.68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619.30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珠海市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4,573.10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494.10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江门市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4,293.91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8.7:43.1:48.2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324.85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482.85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中山市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4,260.56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380.01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茂名市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4,106.40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18.1:27.3:54.5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186.64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626.46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湛江市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3,952.94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18.6:32.6:48.8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215.10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712.29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汕头市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3,023.83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4.7:37.6:57.7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170.33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557.69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肇庆市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2,974.84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240.19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揭阳市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2,553.75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9.7:35:55.3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130.12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568.72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清远市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2,317.47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208.12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韶关市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1,705.10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15.2:31.1:53.7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120.14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283.39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阳江市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1,671.22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115.37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262.86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梅州市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1,583.23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17.9:29.7:52.4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121.35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381.56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汕尾市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1,546.30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90.38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潮州市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1,452.17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9.8:44.5:45.7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81.93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257.88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河源市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1,434.57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13.3:33.7:53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95.34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281.42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云浮市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1,344.87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18.1:26.3:55.6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238.96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湛江市2025年GDP总量3,952.94亿元、列全省第十位，一般公共预算收入215.10亿元、列全省第十位。整体来看，湛江市经济基本面在广东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湛江市财政体量在广东省处于中游，税收占比61.02%、税收质量较好，但政府性基金收入总体平稳；2025年末宽口径债务率656.97%、处于偏高水平，已显著高于公认的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湛江市一般公共预算收入分别为155.63亿元、164.96亿元、215.10亿元，其中税收收入90.39亿元、87.51亿元、131.26亿元，税收占比维持在58.08%、53.05%、61.02%；一般公共预算支出545.37亿元、535.88亿元、568.16亿元，财政自给率28.54%、30.78%、37.86%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政府性基金收入方面，2023、2024、2025年分别为60.92亿元、49.56亿元、64.70亿元，政府性基金收入总体平稳，反映地方综合财力对房地产周期的敞口。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图表：2023-2025年湛江市财政收入情况(单位:亿元、%)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155.63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164.96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215.10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30.40%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90.39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87.51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-3.19%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131.26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49.99%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58.08%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53.05%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61.02%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545.37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535.88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-1.74%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568.16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6.02%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28.54%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30.78%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37.86%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60.92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49.56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-18.65%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30.55%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资料来源:湛江市财政决算、企业预警通,风控信评部整理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土地市场方面，【待补充:湛江市土地出让与房地产销售数据（土地市场数据库未覆盖该市）】。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湛江市地方政府债务余额分别为1,114.09亿元、1,284.22亿元、1,504.04亿元，2025年末债务限额1,510.58亿元，债务余额控制在限额以内；城投有息债务2025年末估算余额344.20亿元。债务率指标看，2025年末政府债务率534.62%、城投债务率122.35%、宽口径债务率656.97%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湛江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