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珠海市信用评级报告(区域部分)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珠海经济总量列广东省第六位，人均GDP约18.00万元、人均经济实力居全省前列，经济增速由4.08%回落至2.70%、有所放缓；固定资产投资连续负增长（最新-31.60%），经济动能仍有待修复。【待补充：珠海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珠海市2023、2024、2025年地区生产总值分别为4,348.96亿元、4,501.31亿元、4,573.10亿元，同比增长4.08%、3.60%、2.70%。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产业结构方面，2025年珠海市三次产业结构为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2023、2024、2025年固定资产投资增速分别为-13.10%、-18.17%、-31.60%，2025年社会消费品零售总额918.65亿元，进出口总额468.74亿美元。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珠海市2025年GDP总量4,573.10亿元、列全省第六位，一般公共预算收入494.10亿元、列全省第六位。整体来看，珠海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珠海市财政体量在广东省处于中游，税收占比68.19%、税收质量较好，但政府性基金收入较2023年累计下降62%、土地财政贡献度弱化；2025年末宽口径债务率391.09%、处于偏高水平，已显著高于公认的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珠海市一般公共预算收入分别为482.51亿元、475.16亿元、494.10亿元，其中税收收入300.29亿元、292.87亿元、336.93亿元，税收占比维持在62.23%、61.64%、68.19%；一般公共预算支出671.86亿元、649.98亿元、668.64亿元，财政自给率71.82%、73.10%、73.90%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政府性基金收入方面，2023、2024、2025年分别为86.83亿元、91.38亿元、32.70亿元，政府性基金收入较2023年累计下降62%、土地财政贡献度弱化，反映地方综合财力对房地产周期的敞口。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图表：2023-2025年珠海市财政收入情况(单位:亿元、%)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300.29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336.93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649.98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-64.22%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资料来源:珠海市财政决算、企业预警通,风控信评部整理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土地市场方面，【待补充:珠海市土地出让与房地产销售数据（土地市场数据库未覆盖该市）】。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珠海市地方政府债务余额分别为1,321.50亿元、1,519.92亿元、1,737.09亿元，2025年末债务限额1,743.64亿元，债务余额控制在限额以内；城投有息债务2025年末估算余额2,153.98亿元。债务率指标看，2025年末政府债务率174.60%、城投债务率216.50%、宽口径债务率391.09%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珠海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