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肇庆市信用评级报告(区域部分)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肇庆经济总量列广东省第12位，人均GDP约7.20万元、人均经济实力居全省中游，经济增速由3.73%回落至3.10%、有所放缓；固定资产投资连续负增长（最新-41.60%），经济动能仍有待修复。【待补充：肇庆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肇庆市2023、2024、2025年地区生产总值分别为2,877.89亿元、2,917.85亿元、2,974.84亿元，同比增长3.73%、2.15%、3.10%。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产业结构方面，2025年肇庆市三次产业结构为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2023、2024、2025年固定资产投资增速分别为-4.60%、-3.48%、-41.60%，2025年社会消费品零售总额1,217.70亿元，进出口总额64.79亿美元。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肇庆市2025年GDP总量2,974.84亿元、列全省第12位，一般公共预算收入240.19亿元、列全省第九位。整体来看，肇庆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肇庆市财政体量在广东省处于中游，税收占比40.85%、税收占比处于一般水平，但政府性基金收入较2023年累计增长70%；2025年末宽口径债务率595.02%、处于偏高水平，已显著高于公认的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肇庆市一般公共预算收入分别为176.56亿元、188.95亿元、240.19亿元，其中税收收入77.88亿元、79.81亿元、98.12亿元，税收占比维持在44.11%、42.24%、40.85%；一般公共预算支出417.52亿元、417.59亿元、442.89亿元，财政自给率42.29%、45.25%、54.23%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政府性基金收入方面，2023、2024、2025年分别为66.56亿元、100.93亿元、113.14亿元，政府性基金收入较2023年累计增长70%，反映地方综合财力对房地产周期的敞口。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图表：2023-2025年肇庆市财政收入情况(单位:亿元、%)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417.59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442.89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资料来源:肇庆市财政决算、企业预警通,风控信评部整理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土地市场方面，【待补充:肇庆市土地出让与房地产销售数据（土地市场数据库未覆盖该市）】。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肇庆市地方政府债务余额分别为1,133.11亿元、1,286.55亿元、1,423.67亿元，2025年末债务限额1,427.53亿元，债务余额控制在限额以内；城投有息债务2025年末估算余额756.43亿元。债务率指标看，2025年末政府债务率388.57%、城投债务率206.45%、宽口径债务率595.02%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肇庆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