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茂名市信用评级报告(区域部分)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茂名经济总量列广东省第九位，人均GDP约6.55万元、人均经济实力居全省中游，经济增速维持在3.60%左右、总体平稳；固定资产投资连续负增长（最新-2.80%），经济动能仍有待修复。【待补充：茂名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茂名市2023、2024、2025年地区生产总值分别为3,993.26亿元、4,043.55亿元、4,106.40亿元，同比增长3.78%、2.40%、3.60%。截至2025年末，全市常住人口626.46万人，人均GDP约6.55万元。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产业结构方面，2025年茂名市三次产业结构为18.1:27.3:54.5。【待补充：支柱产业、主要龙头企业、对外贸易等定性描述（数据库未覆盖）】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2023、2024、2025年固定资产投资增速分别为5.30%、-1.72%、-2.80%，2025年社会消费品零售总额1,557.24亿元，进出口总额24.54亿美元。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茂名市2025年GDP总量4,106.40亿元、列全省第九位，一般公共预算收入186.64亿元、列全省第12位。整体来看，茂名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茂名市财政体量在广东省处于中游，税收占比50.17%、税收占比处于一般水平，但政府性基金收入较2023年累计下降29%、土地财政贡献度弱化；2025年末宽口径债务率608.90%、处于偏高水平，已显著高于公认的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茂名市一般公共预算收入分别为145.47亿元、151.43亿元、186.64亿元，其中税收收入68.81亿元、65.33亿元、93.64亿元，税收占比维持在47.30%、43.14%、50.17%；一般公共预算支出512.60亿元、517.17亿元、531.04亿元，财政自给率28.38%、29.28%、35.15%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政府性基金收入方面，2023、2025年分别为90.65亿元、64.79亿元，政府性基金收入较2023年累计下降29%、土地财政贡献度弱化，反映地方综合财力对房地产周期的敞口。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图表：2023-2025年茂名市财政收入情况(单位:亿元、%)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43.33%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531.04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资料来源:茂名市财政决算、企业预警通,风控信评部整理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土地市场方面，【待补充:茂名市土地出让与房地产销售数据（土地市场数据库未覆盖该市）】。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茂名市地方政府债务余额分别为807.47亿元、1,005.61亿元、1,203.78亿元，2025年末债务限额1,210.59亿元，债务余额控制在限额以内；城投有息债务2025年末估算余额332.15亿元。债务率指标看，2025年末政府债务率477.22%、城投债务率131.68%、宽口径债务率608.90%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茂名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