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阳江市信用评级报告(区域部分)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阳江经济总量列广东省第16位，人均GDP约6.36万元、人均经济实力居全省中游，经济增速由3.95%回落至3.30%、有所放缓；固定资产投资最新增速2.80%，经济运行总体平稳。【待补充：阳江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阳江市2023、2024、2025年地区生产总值分别为1,590.07亿元、1,629.58亿元、1,671.22亿元，同比增长3.95%、3.48%、3.30%。截至2025年末，全市常住人口262.86万人，人均GDP约6.36万元。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产业结构方面，2025年阳江市三次产业结构为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2023、2024、2025年固定资产投资增速分别为29.50%、10.72%、2.80%，2025年社会消费品零售总额475.82亿元，进出口总额33.35亿美元。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阳江市2025年GDP总量1,671.22亿元、列全省第16位，一般公共预算收入115.37亿元、列全省第17位。整体来看，阳江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阳江市财政体量在广东省处于中游，税收占比61.97%、税收质量较好，但政府性基金收入较2023年累计下降29%、土地财政贡献度弱化；2025年末宽口径债务率181.91%、处于可控水平，整体处于可控水平。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阳江市一般公共预算收入分别为81.25亿元、83.62亿元、115.37亿元，其中税收收入51.84亿元、50.47亿元、71.49亿元，税收占比维持在63.80%、60.36%、61.97%；一般公共预算支出261.34亿元、254.96亿元、268.73亿元，财政自给率31.09%、32.80%、42.93%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政府性基金收入方面，2023、2024、2025年分别为28.99亿元、27.02亿元、20.56亿元，政府性基金收入较2023年累计下降29%、土地财政贡献度弱化，反映地方综合财力对房地产周期的敞口。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图表：2023-2025年阳江市财政收入情况(单位:亿元、%)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37.97%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41.65%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254.96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-23.91%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资料来源:阳江市财政决算、企业预警通,风控信评部整理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土地市场方面，【待补充:阳江市土地出让与房地产销售数据（土地市场数据库未覆盖该市）】。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阳江市地方政府债务余额分别为443.43亿元、572.58亿元、679.70亿元，2025年末债务限额683.97亿元，债务余额控制在限额以内；城投有息债务2025年末估算余额75.41亿元。债务率指标看，2025年末政府债务率163.74%、城投债务率18.17%、宽口径债务率181.91%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阳江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