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韶关市信用评级报告(区域部分)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韶关经济总量列广东省第15位，人均GDP约5.99万元、人均经济实力居全省中游，经济增速由4.50%回落至3.60%、有所放缓；固定资产投资连续负增长（最新-14.50%），经济动能仍有待修复。【待补充：韶关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韶关市2023、2024、2025年地区生产总值分别为1,623.60亿元、1,647.56亿元、1,705.10亿元，同比增长4.50%、2.15%、3.60%。截至2025年末，全市常住人口283.39万人，人均GDP约5.99万元。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产业结构方面，2025年韶关市三次产业结构为15.2:31.1:53.7。【待补充：支柱产业、主要龙头企业、对外贸易等定性描述（数据库未覆盖）】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2023、2024、2025年固定资产投资增速分别为2.90%、-5.63%、-14.50%，2025年社会消费品零售总额453.11亿元，进出口总额26.64亿美元。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深圳市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38,731.80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0.1:37.4:62.5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4,163.77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1824.85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32,039.46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0.99:24.06:74.95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1910.10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佛山市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13,157.35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1.9:49.6:48.5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12,760.20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0.3:56.1:43.6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1080.04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6,363.66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5.24:53.18:41.58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538.68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619.30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珠海市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4,573.10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江门市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4,293.91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4,260.56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茂名市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4,106.40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18.1:27.3:54.5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626.46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湛江市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3,952.94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18.6:32.6:48.8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712.29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3,023.83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4.7:37.6:57.7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557.69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肇庆市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2,974.84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揭阳市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2,553.75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9.7:35:55.3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568.72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清远市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2,317.47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208.12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韶关市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15.2:31.1:53.7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283.39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阳江市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1,671.22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262.86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梅州市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1,583.23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17.9:29.7:52.4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121.35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381.56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1,546.30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潮州市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9.8:44.5:45.7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1,434.57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13.3:33.7:53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281.42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云浮市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1,344.87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18.1:26.3:55.6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238.96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韶关市2025年GDP总量1,705.10亿元、列全省第15位，一般公共预算收入120.14亿元、列全省第16位。整体来看，韶关市经济基本面在广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韶关市财政体量在广东省处于中游，税收占比62.55%、税收质量较好，但政府性基金收入总体平稳；2025年末宽口径债务率661.77%、处于偏高水平，已显著高于公认的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韶关市一般公共预算收入分别为101.15亿元、104.90亿元、120.14亿元，其中税收收入52.01亿元、52.09亿元、75.15亿元，税收占比维持在51.42%、49.66%、62.55%；一般公共预算支出368.43亿元、381.12亿元、377.52亿元，财政自给率27.45%、27.52%、31.82%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政府性基金收入方面，2023、2024、2025年分别为31.40亿元、35.23亿元、32.99亿元，政府性基金收入总体平稳，反映地方综合财力对房地产周期的敞口。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图表：2023-2025年韶关市财政收入情况(单位:亿元、%)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101.15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14.53%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44.27%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49.66%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377.52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-0.94%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27.45%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31.82%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-6.36%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资料来源:韶关市财政决算、企业预警通,风控信评部整理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土地市场方面，【待补充:韶关市土地出让与房地产销售数据（土地市场数据库未覆盖该市）】。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韶关市地方政府债务余额分别为726.22亿元、825.57亿元、937.62亿元，2025年末债务限额943.99亿元，债务余额控制在限额以内；城投有息债务2025年末估算余额88.45亿元。债务率指标看，2025年末政府债务率604.73%、城投债务率57.05%、宽口径债务率661.77%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韶关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