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来宾市信用评级报告(区域部分)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来宾经济总量列广西壮族自治区第13位，人均GDP约5.22万元、人均经济实力在省内相对靠后，经济增速维持在4.80%左右、总体平稳；固定资产投资连续负增长（最新-11.00%），经济动能仍有待修复。【待补充：来宾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来宾市2023、2024、2025年地区生产总值分别为983.31亿元、1,019.26亿元、1,049.66亿元，同比增长5.10%、5.00%、4.80%。截至2025年末，全市常住人口199.89万人，人均GDP约5.22万元。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产业结构方面，2025年来宾市三次产业结构为21.2:38:40.8。【待补充：支柱产业、主要龙头企业、对外贸易等定性描述（数据库未覆盖）】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2023、2024、2025年固定资产投资增速分别为-6.80%、-4.94%、-11.00%，进出口总额3.64亿美元。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来宾市2025年GDP总量1,049.66亿元、列全省第13位，一般公共预算收入64.38亿元、列全省第九位。整体来看，来宾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来宾市财政体量在广西壮族自治区处于中游，税收占比45.69%、税收占比处于一般水平，但政府性基金收入较2023年累计增长15%；2025年末宽口径债务率247.36%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来宾市一般公共预算收入分别为55.82亿元、68.84亿元、64.38亿元，其中税收收入24.19亿元、25.98亿元、29.42亿元，税收占比维持在43.34%、37.74%、45.69%；一般公共预算支出233.45亿元、243.97亿元、245.29亿元，财政自给率23.91%、28.22%、26.25%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政府性基金收入方面，2023、2024、2025年分别为20.53亿元、16.87亿元、23.62亿元，政府性基金收入较2023年累计增长15%，反映地方综合财力对房地产周期的敞口。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图表：2023-2025年来宾市财政收入情况(单位:亿元、%)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-6.48%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245.29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40.01%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资料来源:来宾市财政决算、企业预警通,风控信评部整理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土地市场方面，【待补充:来宾市土地出让与房地产销售数据（土地市场数据库未覆盖该市）】。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来宾市地方政府债务余额分别为473.00亿元、544.46亿元、642.54亿元，2025年末债务限额642.99亿元，债务余额控制在限额以内；城投有息债务2025年末估算余额187.93亿元。债务率指标看，2025年末政府债务率191.39%、城投债务率55.98%、宽口径债务率247.36%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来宾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