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桂林市信用评级报告(区域部分)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桂林经济总量列广西壮族自治区第三位，人均GDP约—万元、人均经济实力居省内中游，经济增速维持在3.50%左右、总体平稳；固定资产投资连续负增长（最新-11.20%），经济动能仍有待修复。【待补充：桂林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桂林市2023、2024、2025年地区生产总值分别为2,448.34亿元、2,566.39亿元、2,579.53亿元，同比增长3.40%、3.30%、3.50%。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产业结构方面，2025年桂林市三次产业结构为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2023、2024、2025年固定资产投资增速分别为-17.70%、0.03%、-11.20%，进出口总额17.49亿美元。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桂林市2025年GDP总量2,579.53亿元、列全省第三位，一般公共预算收入150.65亿元、列全省第四位。整体来看，桂林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桂林市财政体量在广西壮族自治区处于中游，税收占比44.78%、税收占比处于一般水平，但政府性基金收入较2023年累计下降45%、土地财政贡献度弱化；2025年末宽口径债务率1052.30%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桂林市一般公共预算收入分别为115.67亿元、127.06亿元、150.65亿元，其中税收收入64.88亿元、65.11亿元、67.46亿元，税收占比维持在56.09%、51.25%、44.78%；一般公共预算支出489.19亿元、519.64亿元、537.59亿元，财政自给率23.65%、24.45%、28.02%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政府性基金收入方面，2023、2024、2025年分别为60.42亿元、49.43亿元、33.27亿元，政府性基金收入较2023年累计下降45%、土地财政贡献度弱化，反映地方综合财力对房地产周期的敞口。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图表：2023-2025年桂林市财政收入情况(单位:亿元、%)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489.19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519.64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-32.69%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资料来源:桂林市财政决算、企业预警通,风控信评部整理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土地市场方面，【待补充:桂林市土地出让与房地产销售数据（土地市场数据库未覆盖该市）】。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桂林市地方政府债务余额分别为846.00亿元、925.43亿元、1,075.41亿元，2025年末债务限额1,075.87亿元，债务余额控制在限额以内；城投有息债务2025年末估算余额5,981.29亿元。债务率指标看，2025年末政府债务率160.37%、城投债务率891.93%、宽口径债务率1052.30%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桂林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