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玉林市信用评级报告(区域部分)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玉林经济总量列广西壮族自治区第四位，人均GDP约—万元、人均经济实力居省内中游，经济增速由3.40%回升至5.70%、动能边际改善；固定资产投资连续负增长（最新-1.30%），经济动能仍有待修复。【待补充：玉林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玉林市2023、2024、2025年地区生产总值分别为2,251.80亿元、2,346.78亿元、2,437.44亿元，同比增长3.40%、4.30%、5.70%。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产业结构方面，2025年玉林市三次产业结构为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2023、2024、2025年固定资产投资增速分别为-23.90%、-2.09%、-1.30%，进出口总额39.99亿美元。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玉林市2025年GDP总量2,437.44亿元、列全省第四位，一般公共预算收入96.91亿元、列全省第六位。整体来看，玉林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玉林市财政体量在广西壮族自治区处于中游，税收占比44.30%、税收占比处于一般水平，但政府性基金收入较2023年累计下降13%、土地财政贡献度弱化；2025年末宽口径债务率196.34%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玉林市一般公共预算收入分别为89.89亿元、94.04亿元、96.91亿元，其中税收收入39.60亿元、40.83亿元、42.93亿元，税收占比维持在44.05%、43.42%、44.30%；一般公共预算支出411.33亿元、442.54亿元、454.44亿元，财政自给率21.85%、21.25%、21.33%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政府性基金收入方面，2023、2024、2025年分别为49.11亿元、48.09亿元、42.80亿元，政府性基金收入较2023年累计下降13%、土地财政贡献度弱化，反映地方综合财力对房地产周期的敞口。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图表：2023-2025年玉林市财政收入情况(单位:亿元、%)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411.33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442.54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454.44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-11.00%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资料来源:玉林市财政决算、企业预警通,风控信评部整理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土地市场方面，【待补充:玉林市土地出让与房地产销售数据（土地市场数据库未覆盖该市）】。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玉林市地方政府债务余额分别为602.68亿元、732.82亿元、871.28亿元，2025年末债务限额871.94亿元，债务余额控制在限额以内；城投有息债务2025年末估算余额230.70亿元。债务率指标看，2025年末政府债务率155.23%、城投债务率41.10%、宽口径债务率196.34%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玉林市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