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铜川市信用评级报告(区域部分)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铜川经济总量列陕西省第九位，人均GDP约8.60万元、人均经济实力居全省中游，经济增速维持在6.10%左右、总体平稳；固定资产投资最新增速9.20%，经济运行总体平稳。【待补充：铜川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铜川市2023、2024、2025年地区生产总值分别为555.68亿元、582.08亿元、607.15亿元，同比增长6.10%、6.30%、6.10%。截至2025年末，全市常住人口70.36万人，人均GDP约8.60万元。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产业结构方面，2025年铜川市三次产业结构为6.5:33.8:59.7。【待补充：支柱产业、主要龙头企业、对外贸易等定性描述（数据库未覆盖）】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2023、2024、2025年固定资产投资增速分别为2.00%、11.60%、9.20%，进出口总额0.87亿美元。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图表：2025年陕西省各地级市主要经济指标对比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西安市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13,902.67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2.39:28.56:69.05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979.35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1323.63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榆林市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7,501.06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362.00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咸阳市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3,104.53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14.4:35.9:49.7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403.77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宝鸡市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2,648.87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112.07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延安市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2,372.17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10.9:53.4:35.7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173.97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221.82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渭南市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2,231.76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20.2:25.7:54.1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453.38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汉中市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商洛市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823.92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200.51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607.15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6.5:33.8:59.7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70.36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铜川市2025年GDP总量607.15亿元、列全省第九位，一般公共预算收入25.30亿元、列全省第十位。整体来看，铜川市经济基本面在陕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铜川市财政体量在陕西省处于中游，税收占比61.50%、税收质量较好，但政府性基金收入较2023年累计下降50%、土地财政贡献度弱化；2025年末宽口径债务率1255.09%、处于偏高水平，已显著高于公认的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铜川市一般公共预算收入分别为25.14亿元、24.31亿元、25.30亿元，其中税收收入16.52亿元、15.92亿元、15.56亿元，税收占比维持在65.70%、65.51%、61.50%；一般公共预算支出143.45亿元、152.44亿元、141.66亿元，财政自给率17.52%、15.95%、17.86%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政府性基金收入方面，2023、2024、2025年分别为9.05亿元、4.70亿元、4.56亿元，政府性基金收入较2023年累计下降50%、土地财政贡献度弱化，反映地方综合财力对房地产周期的敞口。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图表：2023-2025年铜川市财政收入情况(单位:亿元、%)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-2.26%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143.45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152.44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141.66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-7.07%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17.86%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-48.07%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-2.98%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资料来源:铜川市财政决算、企业预警通,风控信评部整理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土地市场方面，【待补充:铜川市土地出让与房地产销售数据（土地市场数据库未覆盖该市）】。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铜川市地方政府债务余额分别为221.40亿元、273.12亿元、337.40亿元，2025年末债务限额345.10亿元，债务余额控制在限额以内；城投有息债务2025年末估算余额38.21亿元。债务率指标看，2025年末政府债务率1127.41%、城投债务率127.68%、宽口径债务率1255.09%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铜川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