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果洛藏族自治州信用评级报告(区域部分)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果洛藏族自治州经济总量列青海省第八位，人均GDP约3.27万元、人均经济实力在省内相对靠后，经济增速由3.80%回升至4.60%、动能边际改善；固定资产投资连续负增长（最新-21.90%），经济动能仍有待修复。【待补充：果洛藏族自治州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果洛藏族自治州2023、2024、2025年地区生产总值分别为67.20亿元、69.38亿元、73.15亿元，同比增长3.80%、0.10%、4.60%。截至2025年末，全市常住人口22.49万人，人均GDP约3.27万元。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产业结构方面，2025年果洛藏族自治州三次产业结构为13.5:18.8:67.7。【待补充：支柱产业、主要龙头企业、对外贸易等定性描述（数据库未覆盖）】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2023、2024、2025年固定资产投资增速分别为0.90%、-22.50%、-21.90%，2025年社会消费品零售总额14.91亿元，进出口总额0.00亿美元。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果洛藏族自治州2025年GDP总量73.15亿元、列全省第八位，一般公共预算收入3.54亿元、列全省第七位。整体来看，果洛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果洛藏族自治州财政体量在青海省处于中游，税收占比42.69%、税收占比处于一般水平，但政府性基金收入较2023年累计增长87%；2025年末宽口径债务率1257.54%、处于偏高水平，已显著高于公认的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果洛藏族自治州一般公共预算收入分别为3.57亿元、4.07亿元、3.54亿元，其中税收收入1.94亿元、2.68亿元、1.51亿元，税收占比维持在54.39%、65.97%、42.69%；一般公共预算支出118.82亿元、140.48亿元、125.50亿元，财政自给率3.01%、2.90%、2.82%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政府性基金收入方面，2023、2024、2025年分别为0.15亿元、0.20亿元、0.28亿元，政府性基金收入较2023年累计增长87%，反映地方综合财力对房地产周期的敞口。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图表：2023-2025年果洛藏族自治州财政收入情况(单位:亿元、%)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资料来源:果洛藏族自治州财政决算、企业预警通,风控信评部整理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土地市场方面，【待补充:果洛藏族自治州土地出让与房地产销售数据（土地市场数据库未覆盖该市）】。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果洛藏族自治州地方政府债务余额分别为36.99亿元、41.14亿元、48.02亿元，2025年末债务限额49.22亿元，债务余额控制在限额以内；城投有息债务2025年末估算余额—亿元。债务率指标看，2025年末政府债务率1257.54%、城投债务率—、宽口径债务率1257.54%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果洛藏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