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40" w:line="360" w:lineRule="auto"/>
        <w:ind w:firstLine="0"/>
        <w:jc w:val="center"/>
      </w:pPr>
      <w:r>
        <w:rPr>
          <w:rFonts w:ascii="Times New Roman" w:hAnsi="Times New Roman" w:eastAsia="楷体"/>
          <w:b/>
          <w:color w:val="000000"/>
          <w:sz w:val="28"/>
        </w:rPr>
        <w:t>海东市信用评级报告(区域部分)</w:t>
      </w:r>
    </w:p>
    <w:p>
      <w:pPr>
        <w:spacing w:before="200" w:after="100" w:line="360" w:lineRule="auto"/>
        <w:ind w:firstLine="0"/>
      </w:pPr>
      <w:r>
        <w:rPr>
          <w:rFonts w:ascii="Times New Roman" w:hAnsi="Times New Roman" w:eastAsia="楷体"/>
          <w:b/>
          <w:color w:val="000000"/>
          <w:sz w:val="21"/>
        </w:rPr>
        <w:t>一、区域经济分析</w:t>
      </w:r>
    </w:p>
    <w:p>
      <w:pPr>
        <w:spacing w:before="120" w:after="60" w:line="360" w:lineRule="auto"/>
        <w:ind w:firstLine="0"/>
      </w:pPr>
      <w:r>
        <w:rPr>
          <w:rFonts w:ascii="Times New Roman" w:hAnsi="Times New Roman" w:eastAsia="楷体"/>
          <w:b/>
          <w:color w:val="000000"/>
          <w:sz w:val="21"/>
        </w:rPr>
        <w:t>■ 海东经济总量列青海省第三位，人均GDP约4.66万元、人均经济实力居全省中游，经济增速由2.50%回落至1.50%、有所放缓；固定资产投资连续负增长（最新-21.90%），经济动能仍有待修复。【待补充：海东市的行政与战略定位、支柱产业及龙头企业（数据库未覆盖，需人工补充）】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海东市2023、2024、2025年地区生产总值分别为580.13亿元、605.46亿元、615.80亿元，同比增长2.50%、4.10%、1.50%。截至2025年末，全市常住人口131.58万人，人均GDP约4.66万元。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产业结构方面，2025年海东市三次产业结构为15.9:31.9:52.2。【待补充：支柱产业、主要龙头企业、对外贸易等定性描述（数据库未覆盖）】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2023、2024、2025年固定资产投资增速分别为-20.80%、24.50%、-21.90%，2025年社会消费品零售总额148.70亿元，进出口总额0.67亿美元。</w:t>
      </w:r>
    </w:p>
    <w:p>
      <w:pPr>
        <w:spacing w:before="80" w:after="40" w:line="360" w:lineRule="auto"/>
        <w:ind w:firstLine="0"/>
        <w:jc w:val="center"/>
      </w:pPr>
      <w:r>
        <w:rPr>
          <w:rFonts w:ascii="Times New Roman" w:hAnsi="Times New Roman" w:eastAsia="楷体"/>
          <w:b/>
          <w:color w:val="000000"/>
          <w:sz w:val="21"/>
        </w:rPr>
        <w:t>图表：2025年青海省各地级市主要经济指标对比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344"/>
        <w:gridCol w:w="1344"/>
        <w:gridCol w:w="1344"/>
        <w:gridCol w:w="1344"/>
        <w:gridCol w:w="1344"/>
        <w:gridCol w:w="1344"/>
        <w:gridCol w:w="1344"/>
      </w:tblGrid>
      <w:tr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地级市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GDP(亿元)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人均GDP(万元)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GDP增速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三次产业结构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一般预算(亿元)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常住人口(万人)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西宁市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1,914.80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7.73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3.30%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3.3:38:58.7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103.70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247.56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海西蒙古族藏族自治州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917.29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19.30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7.50%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6.1:67.7:26.2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81.52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47.72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海东市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615.80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4.66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1.50%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15.9:31.9:52.2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24.91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131.58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海南藏族自治州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246.26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5.46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4.90%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22.8:41.1:36.1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20.49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45.02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黄南藏族自治州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124.17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4.41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0.70%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25.3:22.3:52.4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5.18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28.12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海北藏族自治州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122.50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4.73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5.00%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25.3:17.9:56.8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5.71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25.69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玉树藏族自治州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97.43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2.22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4.00%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 xml:space="preserve"> 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3.51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43.82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果洛藏族自治州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73.15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3.27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4.60%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13.5:18.8:67.7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3.54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22.49</w:t>
            </w:r>
          </w:p>
        </w:tc>
      </w:tr>
    </w:tbl>
    <w:p>
      <w:pPr>
        <w:spacing w:before="0" w:after="80" w:line="360" w:lineRule="auto"/>
        <w:ind w:firstLine="0"/>
      </w:pPr>
      <w:r>
        <w:rPr>
          <w:rFonts w:ascii="Times New Roman" w:hAnsi="Times New Roman" w:eastAsia="楷体"/>
          <w:b w:val="0"/>
          <w:color w:val="000000"/>
          <w:sz w:val="19"/>
        </w:rPr>
        <w:t>资料来源：各市统计公报、企业预警通，风控信评部整理。注：部分城市人均GDP系按当年GDP与常住人口估算。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省内对比看，海东市2025年GDP总量615.80亿元、列全省第三位，一般公共预算收入24.91亿元、列全省第三位。整体来看，海东市经济基本面在青海省内具有一定代表性，但需关注固定资产投资走势及新旧动能转换的接续性。</w:t>
      </w:r>
    </w:p>
    <w:p>
      <w:pPr>
        <w:spacing w:before="120" w:after="60" w:line="360" w:lineRule="auto"/>
        <w:ind w:firstLine="0"/>
      </w:pPr>
      <w:r>
        <w:rPr>
          <w:rFonts w:ascii="Times New Roman" w:hAnsi="Times New Roman" w:eastAsia="楷体"/>
          <w:b/>
          <w:color w:val="000000"/>
          <w:sz w:val="21"/>
        </w:rPr>
        <w:t>■ 海东市财政体量在青海省位居前列，税收占比62.77%、税收质量较好，但政府性基金收入较2023年累计下降74%、土地财政贡献度弱化；2025年末宽口径债务率1981.13%、处于偏高水平，已显著高于公认的 300% 偏高临界线，后续偿债压力值得关注。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财政收入方面，2023、2024、2025年海东市一般公共预算收入分别为35.46亿元、31.36亿元、24.91亿元，其中税收收入19.34亿元、19.46亿元、15.63亿元，税收占比维持在54.53%、62.07%、62.77%；一般公共预算支出256.99亿元、292.63亿元、275.82亿元，财政自给率13.80%、10.72%、9.03%。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政府性基金收入方面，2023、2024、2025年分别为13.94亿元、5.80亿元、3.58亿元，政府性基金收入较2023年累计下降74%、土地财政贡献度弱化，反映地方综合财力对房地产周期的敞口。</w:t>
      </w:r>
    </w:p>
    <w:p>
      <w:pPr>
        <w:spacing w:before="80" w:after="40" w:line="360" w:lineRule="auto"/>
        <w:ind w:firstLine="0"/>
        <w:jc w:val="center"/>
      </w:pPr>
      <w:r>
        <w:rPr>
          <w:rFonts w:ascii="Times New Roman" w:hAnsi="Times New Roman" w:eastAsia="楷体"/>
          <w:b/>
          <w:color w:val="000000"/>
          <w:sz w:val="21"/>
        </w:rPr>
        <w:t>图表：2023-2025年海东市财政收入情况(单位:亿元、%)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344"/>
        <w:gridCol w:w="1344"/>
        <w:gridCol w:w="1344"/>
        <w:gridCol w:w="1344"/>
        <w:gridCol w:w="1344"/>
        <w:gridCol w:w="1344"/>
        <w:gridCol w:w="1344"/>
      </w:tblGrid>
      <w:tr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项目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2023年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增速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2024年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增速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2025年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增速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一般公共预算收入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35.46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74.88%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31.36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-11.56%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24.91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-20.57%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 xml:space="preserve">　其中:税收收入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19.34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19.46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0.62%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15.63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-19.68%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税收占比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54.53%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62.07%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62.77%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一般公共预算支出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256.99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292.63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13.87%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275.82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-5.74%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财政自给率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13.80%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10.72%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9.03%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政府性基金收入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13.94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5.80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-58.39%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3.58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-38.28%</w:t>
            </w:r>
          </w:p>
        </w:tc>
      </w:tr>
    </w:tbl>
    <w:p>
      <w:pPr>
        <w:spacing w:before="0" w:after="80" w:line="360" w:lineRule="auto"/>
        <w:ind w:firstLine="0"/>
      </w:pPr>
      <w:r>
        <w:rPr>
          <w:rFonts w:ascii="Times New Roman" w:hAnsi="Times New Roman" w:eastAsia="楷体"/>
          <w:b w:val="0"/>
          <w:color w:val="000000"/>
          <w:sz w:val="19"/>
        </w:rPr>
        <w:t>资料来源:海东市财政决算、企业预警通,风控信评部整理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土地市场方面，【待补充:海东市土地出让与房地产销售数据（土地市场数据库未覆盖该市）】。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政府债务方面，2023、2024、2025年末海东市地方政府债务余额分别为340.39亿元、388.31亿元、448.84亿元，2025年末债务限额464.04亿元，债务余额控制在限额以内；城投有息债务2025年末估算余额115.62亿元。债务率指标看，2025年末政府债务率1575.32%、城投债务率405.81%、宽口径债务率1981.13%。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综合来看，海东市财政基本盘较为扎实，但土地财政收缩与债务规模扩张是当前主要压力线；我们预计宽口径债务率短期内将维持偏高水平，需重点关注后续化债进展、土地市场企稳情况以及融资平台合规整改对城投再融资能力的影响。</w:t>
      </w:r>
    </w:p>
    <w:sectPr w:rsidR="00FC693F" w:rsidRPr="0006063C" w:rsidSect="00034616">
      <w:pgSz w:w="12240" w:h="15840"/>
      <w:pgMar w:top="1440" w:right="1417" w:bottom="1440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楷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