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西宁市信用评级报告(区域部分)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宁经济总量在青海省稳居第一，人均GDP约7.73万元、人均经济实力居全省前列，经济增速由8.60%回落至3.30%、有所放缓；固定资产投资连续负增长（最新-19.10%），经济动能仍有待修复。【待补充：西宁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西宁市2023、2024、2025年地区生产总值分别为1,819.80亿元、1,862.09亿元、1,914.80亿元，同比增长8.60%、3.10%、3.30%。截至2025年末，全市常住人口247.56万人，人均GDP约7.73万元（按当年GDP与常住人口估算）。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产业结构方面，2025年西宁市三次产业结构为3.3:38:58.7。【待补充：支柱产业、主要龙头企业、对外贸易等定性描述（数据库未覆盖）】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2023、2024、2025年固定资产投资增速分别为-6.60%、-5.90%、-19.10%，2025年社会消费品零售总额663.40亿元，进出口总额7.90亿美元。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西宁市2025年GDP总量1,914.80亿元、列全省第一位，一般公共预算收入103.70亿元、列全省第一位。整体来看，西宁市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西宁市财政体量在青海省稳居第一，税收占比83.32%、税收质量较好，但政府性基金收入较2023年累计下降44%、土地财政贡献度弱化；2025年末宽口径债务率831.39%、处于偏高水平，已显著高于公认的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西宁市一般公共预算收入分别为144.09亿元、134.46亿元、103.70亿元，其中税收收入128.31亿元、116.36亿元、86.40亿元，税收占比维持在89.05%、86.54%、83.32%；一般公共预算支出418.75亿元、400.98亿元、375.40亿元，财政自给率34.41%、33.53%、27.62%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政府性基金收入方面，2023、2024、2025年分别为32.08亿元、22.87亿元、17.90亿元，政府性基金收入较2023年累计下降44%、土地财政贡献度弱化，反映地方综合财力对房地产周期的敞口。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图表：2023-2025年西宁市财政收入情况(单位:亿元、%)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134.46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资料来源:西宁市财政决算、企业预警通,风控信评部整理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土地市场方面，【待补充:西宁市土地出让与房地产销售数据（土地市场数据库未覆盖该市）】。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西宁市地方政府债务余额分别为590.60亿元、661.64亿元、737.25亿元，2025年末债务限额771.61亿元，债务余额控制在限额以内；城投有息债务2025年末估算余额278.12亿元。债务率指标看，2025年末政府债务率603.66%、城投债务率227.73%、宽口径债务率831.39%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西宁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