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黄南藏族自治州信用评级报告(区域部分)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黄南藏族自治州经济总量列青海省第五位，人均GDP约4.41万元、人均经济实力在省内相对靠后，经济增速由2.20%回落至0.70%、有所放缓；固定资产投资最新增速转负（-45.90%），经济动能仍有待修复。【待补充：黄南藏族自治州的行政与战略定位、支柱产业及龙头企业（数据库未覆盖，需人工补充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黄南藏族自治州2023、2024、2025年地区生产总值分别为117.20亿元、123.04亿元、124.17亿元，同比增长2.20%、4.50%、0.70%。截至2025年末，全市常住人口28.12万人，人均GDP约4.41万元。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产业结构方面，2025年黄南藏族自治州三次产业结构为25.3:22.3:52.4。【待补充：支柱产业、主要龙头企业、对外贸易等定性描述（数据库未覆盖）】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2023、2024、2025年固定资产投资增速分别为6.80%、3.70%、-45.90%，2025年社会消费品零售总额19.29亿元，进出口总额0.00亿美元。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图表：2025年青海省各地级市主要经济指标对比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西宁市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1,914.80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7.73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3.3:38:58.7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103.70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247.56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海西蒙古族藏族自治州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917.29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6.1:67.7:26.2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81.52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47.72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海东市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615.80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4.66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15.9:31.9:52.2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24.91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131.58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海南藏族自治州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246.26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5.46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4.90%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22.8:41.1:36.1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20.49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45.02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黄南藏族自治州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124.17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4.41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25.3:22.3:52.4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5.18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28.12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海北藏族自治州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122.50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4.73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25.3:17.9:56.8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5.71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25.69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玉树藏族自治州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97.43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2.22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3.51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43.82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果洛藏族自治州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73.15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3.27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13.5:18.8:67.7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3.54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22.49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黄南藏族自治州2025年GDP总量124.17亿元、列全省第五位，一般公共预算收入5.18亿元、列全省第六位。整体来看，黄南藏族自治州经济基本面在青海省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黄南藏族自治州财政体量在青海省处于中游，税收占比54.63%、税收占比处于一般水平，但政府性基金收入较2023年累计下降38%、土地财政贡献度弱化；2025年末宽口径债务率1256.18%、处于偏高水平，已显著高于公认的 300% 偏高临界线，后续偿债压力值得关注。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黄南藏族自治州一般公共预算收入分别为5.58亿元、6.13亿元、5.18亿元，其中税收收入3.64亿元、3.97亿元、2.83亿元，税收占比维持在65.19%、64.72%、54.63%；一般公共预算支出114.36亿元、96.24亿元、97.85亿元，财政自给率4.88%、6.37%、5.29%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政府性基金收入方面，2023、2024年分别为0.40亿元、0.25亿元，政府性基金收入较2023年累计下降38%、土地财政贡献度弱化，反映地方综合财力对房地产周期的敞口。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图表：2023-2025年黄南藏族自治州财政收入情况(单位:亿元、%)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6.13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9.86%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5.18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-15.50%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3.64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3.97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9.07%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2.83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-28.72%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65.19%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64.72%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54.63%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114.36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96.24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-15.84%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97.85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1.67%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4.88%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6.37%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5.29%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0.25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-37.50%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资料来源:黄南藏族自治州财政决算、企业预警通,风控信评部整理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土地市场方面，【待补充:黄南藏族自治州土地出让与房地产销售数据（土地市场数据库未覆盖该市）】。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黄南藏族自治州地方政府债务余额分别为53.32亿元、60.18亿元、65.07亿元，2025年末债务限额67.58亿元，债务余额控制在限额以内；城投有息债务2025年末估算余额—亿元。债务率指标看，2025年末政府债务率1256.18%、城投债务率—、宽口径债务率1256.18%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黄南藏族自治州财政基本盘总体稳健，但土地财政收缩与债务规模扩张是当前主要压力线；我们预计宽口径债务率短期内将维持偏高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