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伊春市信用评级报告(区域部分)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伊春经济总量列黑龙江省第11位，人均GDP约4.73万元、人均经济实力居全省中游，经济增速由3.67%回升至4.00%、动能边际改善；固定资产投资连续负增长（最新-5.80%），经济动能仍有待修复。【待补充：伊春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伊春市2023、2024、2025年地区生产总值分别为369.59亿元、369.80亿元、380.90亿元，同比增长3.67%、2.10%、4.00%。截至2025年末，全市常住人口80.20万人，人均GDP约4.73万元。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产业结构方面，2025年伊春市三次产业结构为34.8:17:48.2。【待补充：支柱产业、主要龙头企业、对外贸易等定性描述（数据库未覆盖）】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2023、2024、2025年固定资产投资增速分别为-25.80%、17.00%、-5.80%，2025年社会消费品零售总额113.10亿元。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伊春市2025年GDP总量380.90亿元、列全省第11位，一般公共预算收入29.20亿元、列全省第11位。整体来看，伊春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伊春市财政体量在黑龙江省处于中游，税收占比54.11%、税收占比处于一般水平，但政府性基金收入较2023年累计增长342%；2025年末宽口径债务率908.63%、处于偏高水平，已显著高于公认的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伊春市一般公共预算收入分别为28.35亿元、34.07亿元、29.20亿元，其中税收收入15.71亿元、14.87亿元、15.80亿元，税收占比维持在55.40%、43.64%、54.11%；一般公共预算支出225.65亿元、257.57亿元、254.80亿元，财政自给率12.56%、13.23%、11.46%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政府性基金收入方面，2023、2024、2025年分别为1.65亿元、2.62亿元、7.30亿元，政府性基金收入较2023年累计增长342%，反映地方综合财力对房地产周期的敞口。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图表：2023-2025年伊春市财政收入情况(单位:亿元、%)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资料来源:伊春市财政决算、企业预警通,风控信评部整理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土地市场方面，【待补充:伊春市土地出让与房地产销售数据（土地市场数据库未覆盖该市）】。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伊春市地方政府债务余额分别为226.10亿元、234.10亿元、275.25亿元，2025年末债务限额278.26亿元，债务余额控制在限额以内；城投有息债务2025年末估算余额56.46亿元。债务率指标看，2025年末政府债务率753.97%、城投债务率154.66%、宽口径债务率908.63%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伊春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