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佳木斯市信用评级报告(区域部分)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佳木斯经济总量列黑龙江省第六位，人均GDP约—万元、人均经济实力居省内中游，经济增速由3.34%回升至4.70%、动能边际改善；固定资产投资连续负增长（最新-11.50%），经济动能仍有待修复。【待补充：佳木斯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佳木斯市2023、2024、2025年地区生产总值分别为985.69亿元、1,007.73亿元、1,052.30亿元，同比增长3.34%、4.82%、4.70%。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产业结构方面，2025年佳木斯市三次产业结构为40.4:9:50.6。【待补充：支柱产业、主要龙头企业、对外贸易等定性描述（数据库未覆盖）】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2023、2024、2025年固定资产投资增速分别为-31.90%、2.20%、-11.50%，进出口总额15.36亿美元。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佳木斯市2025年GDP总量1,052.30亿元、列全省第六位，一般公共预算收入83.50亿元、列全省第六位。整体来看，佳木斯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佳木斯市财政体量在黑龙江省处于中游，税收占比37.72%、税收占比处于一般水平，但政府性基金收入较2023年累计增长96%；2025年末宽口径债务率828.10%、处于偏高水平，已显著高于公认的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佳木斯市一般公共预算收入分别为77.13亿元、81.52亿元、83.50亿元，其中税收收入29.98亿元、29.41亿元、31.50亿元，税收占比维持在38.87%、36.08%、37.72%；一般公共预算支出370.08亿元、415.75亿元、408.20亿元，财政自给率20.84%、19.61%、20.46%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政府性基金收入方面，2023、2024、2025年分别为9.15亿元、17.50亿元、17.90亿元，政府性基金收入较2023年累计增长96%，反映地方综合财力对房地产周期的敞口。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图表：2023-2025年佳木斯市财政收入情况(单位:亿元、%)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资料来源:佳木斯市财政决算、企业预警通,风控信评部整理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土地市场方面，【待补充:佳木斯市土地出让与房地产销售数据（土地市场数据库未覆盖该市）】。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佳木斯市地方政府债务余额分别为507.03亿元、620.10亿元、715.20亿元，2025年末债务限额720.20亿元，债务余额控制在限额以内；城投有息债务2025年末估算余额125.72亿元。债务率指标看，2025年末政府债务率704.30%、城投债务率123.80%、宽口径债务率828.10%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佳木斯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