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双鸭山市信用评级报告(区域部分)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双鸭山经济总量列黑龙江省第九位，人均GDP约—万元、人均经济实力居省内中游，经济增速由2.17%回升至4.20%、动能边际改善；固定资产投资最新增速3.00%，经济运行总体平稳。【待补充：双鸭山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双鸭山市2023、2024、2025年地区生产总值分别为557.03亿元、557.44亿元、571.10亿元，同比增长2.17%、3.38%、4.20%。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产业结构方面，2025年双鸭山市三次产业结构为34.8:20.3:44.9。【待补充：支柱产业、主要龙头企业、对外贸易等定性描述（数据库未覆盖）】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2023、2024、2025年固定资产投资增速分别为-35.00%、15.60%、3.00%，进出口总额4.42亿美元。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图表：2025年黑龙江省各地级市主要经济指标对比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哈尔滨市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6,188.50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齐齐哈尔市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绥化市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40.8:14.6:44.6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牡丹江市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19.5:17.4:63.1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佳木斯市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40.4:9:50.6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黑河市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31.3:14.1:54.6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鸡西市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32.7:18.7:48.6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双鸭山市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34.8:20.3:44.9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34.8:17:48.2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七台河市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大兴安岭地区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双鸭山市2025年GDP总量571.10亿元、列全省第九位，一般公共预算收入58.30亿元、列全省第八位。整体来看，双鸭山市经济基本面在黑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双鸭山市财政体量在黑龙江省处于中游，税收占比39.45%、税收占比处于一般水平，但政府性基金收入较2023年累计增长78%；2025年末宽口径债务率715.35%、处于偏高水平，已显著高于公认的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双鸭山市一般公共预算收入分别为43.46亿元、49.23亿元、58.30亿元，其中税收收入21.75亿元、21.08亿元、23.00亿元，税收占比维持在50.03%、42.83%、39.45%；一般公共预算支出198.43亿元、209.14亿元、224.50亿元，财政自给率21.90%、23.54%、25.97%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政府性基金收入方面，2023、2024、2025年分别为3.48亿元、3.45亿元、6.20亿元，政府性基金收入较2023年累计增长78%，反映地方综合财力对房地产周期的敞口。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图表：2023-2025年双鸭山市财政收入情况(单位:亿元、%)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79.71%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资料来源:双鸭山市财政决算、企业预警通,风控信评部整理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土地市场方面，【待补充:双鸭山市土地出让与房地产销售数据（土地市场数据库未覆盖该市）】。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双鸭山市地方政府债务余额分别为380.71亿元、450.53亿元、522.16亿元，2025年末债务限额525.18亿元，债务余额控制在限额以内；城投有息债务2025年末估算余额88.03亿元。债务率指标看，2025年末政府债务率612.14%、城投债务率103.20%、宽口径债务率715.35%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双鸭山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