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哈尔滨市信用评级报告(区域部分)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哈尔滨经济总量在黑龙江省稳居第一，人均GDP约—万元、人均经济实力居省内中游，经济增速由3.09%回升至4.60%、动能边际改善；固定资产投资连续负增长（最新-6.10%），经济动能仍有待修复。【待补充：哈尔滨市的行政与战略定位、支柱产业及龙头企业（数据库未覆盖，需人工补充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哈尔滨市2023、2024、2025年地区生产总值分别为5,888.57亿元、6,002.10亿元、6,188.50亿元，同比增长3.09%、4.30%、4.60%。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产业结构方面，2025年哈尔滨市三次产业结构为 。【待补充：支柱产业、主要龙头企业、对外贸易等定性描述（数据库未覆盖）】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2023、2024、2025年固定资产投资增速分别为-24.70%、14.30%、-6.10%，2025年社会消费品零售总额2,557.70亿元，进出口总额70.42亿美元。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图表：2025年黑龙江省各地级市主要经济指标对比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哈尔滨市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6,188.50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368.31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大庆市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2,693.20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206.10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齐齐哈尔市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1,402.10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105.80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绥化市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1,285.10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3.75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40.8:14.6:44.6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91.96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339.40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牡丹江市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1,094.77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5.06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19.5:17.4:63.1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96.26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佳木斯市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1,052.30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40.4:9:50.6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83.50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黑河市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742.30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6.24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31.3:14.1:54.6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62.20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119.00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鸡西市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648.50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4.67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32.7:18.7:48.6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55.20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双鸭山市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571.10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34.8:20.3:44.9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58.30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鹤岗市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392.20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伊春市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380.90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4.73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34.8:17:48.2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29.20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80.20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七台河市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249.40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34.68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大兴安岭地区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177.50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14.97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哈尔滨市2025年GDP总量6,188.50亿元、列全省第一位，一般公共预算收入368.31亿元、列全省第一位。整体来看，哈尔滨市经济基本面在黑龙江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哈尔滨市财政体量在黑龙江省稳居第一，税收占比66.90%、税收质量较好，但政府性基金收入较2023年累计增长32%；2025年末宽口径债务率1066.36%、处于偏高水平，已显著高于公认的 300% 偏高临界线，后续偿债压力值得关注。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哈尔滨市一般公共预算收入分别为313.07亿元、337.84亿元、368.31亿元，其中税收收入239.46亿元、246.21亿元、246.41亿元，税收占比维持在76.49%、72.88%、66.90%；一般公共预算支出1,080.70亿元、1,257.56亿元、1,245.22亿元，财政自给率28.97%、26.87%、29.58%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政府性基金收入方面，2023、2024、2025年分别为51.36亿元、60.83亿元、67.93亿元，政府性基金收入较2023年累计增长32%，反映地方综合财力对房地产周期的敞口。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图表：2023-2025年哈尔滨市财政收入情况(单位:亿元、%)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313.07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337.84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7.91%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368.31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9.02%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239.46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246.21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2.82%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246.41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0.08%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76.49%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72.88%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66.90%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1,080.70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1,257.56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16.37%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1,245.22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-0.98%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28.97%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26.87%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29.58%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51.36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60.83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18.44%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67.93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11.67%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资料来源:哈尔滨市财政决算、企业预警通,风控信评部整理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土地市场方面，【待补充:哈尔滨市土地出让与房地产销售数据（土地市场数据库未覆盖该市）】。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哈尔滨市地方政府债务余额分别为3,253.28亿元、3,486.31亿元、3,784.29亿元，2025年末债务限额3,824.96亿元，债务余额控制在限额以内；城投有息债务2025年末估算余额876.10亿元。债务率指标看，2025年末政府债务率865.89%、城投债务率200.46%、宽口径债务率1066.36%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哈尔滨市财政基本盘较为扎实，但土地财政收缩与债务规模扩张是当前主要压力线；我们预计宽口径债务率短期内将维持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