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大兴安岭地区信用评级报告(区域部分)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兴安岭地区经济总量列黑龙江省第13位，人均GDP约—万元、人均经济实力居省内中游，经济增速由-0.44%回升至4.20%、动能边际改善；固定资产投资最新增速7.40%，经济运行总体平稳。【待补充：大兴安岭地区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大兴安岭地区2023、2024、2025年地区生产总值分别为172.13亿元、172.90亿元、177.50亿元，同比增长-0.44%、3.70%、4.20%。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产业结构方面，2025年大兴安岭地区三次产业结构为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2023、2024、2025年固定资产投资增速分别为-4.30%、9.40%、7.40%。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大兴安岭地区2025年GDP总量177.50亿元、列全省第13位，一般公共预算收入14.97亿元、列全省第12位。整体来看，大兴安岭地区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兴安岭地区财政体量在黑龙江省处于中游，税收占比51.26%、税收占比处于一般水平，但政府性基金收入较2023年累计下降32%、土地财政贡献度弱化；2025年末宽口径债务率35.29%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大兴安岭地区一般公共预算收入分别为13.79亿元、14.91亿元、14.97亿元，其中税收收入7.34亿元、7.79亿元、7.67亿元，税收占比维持在53.25%、52.27%、51.26%；一般公共预算支出113.37亿元、121.46亿元、130.37亿元，财政自给率12.16%、12.28%、11.48%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政府性基金收入方面，2023、2024、2025年分别为1.04亿元、0.71亿元、0.71亿元，政府性基金收入较2023年累计下降32%、土地财政贡献度弱化，反映地方综合财力对房地产周期的敞口。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图表：2023-2025年大兴安岭地区财政收入情况(单位:亿元、%)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-31.73%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资料来源:大兴安岭地区财政决算、企业预警通,风控信评部整理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土地市场方面，【待补充:大兴安岭地区土地出让与房地产销售数据（土地市场数据库未覆盖该市）】。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大兴安岭地区地方政府债务余额分别为46.19亿元、50.98亿元、58.52亿元，2025年末债务限额59.26亿元，债务余额控制在限额以内；城投有息债务2025年末估算余额—亿元。债务率指标看，2025年末政府债务率35.29%、城投债务率—、宽口径债务率35.29%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大兴安岭地区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