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大庆市信用评级报告(区域部分)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大庆经济总量列黑龙江省第二位，人均GDP约10.50万元、人均经济实力居全省前列，经济增速由1.74%回升至3.50%、动能边际改善；固定资产投资最新增速转负（-4.30%），经济动能仍有待修复。【待补充：大庆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大庆市2023、2024、2025年地区生产总值分别为2,798.65亿元、2,798.80亿元、2,693.20亿元，同比增长1.74%、3.20%、3.50%。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产业结构方面，2025年大庆市三次产业结构为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2023、2024年固定资产投资增速分别为8.10%、-4.30%，2025年社会消费品零售总额640.00亿元，进出口总额198.47亿美元。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大庆市2025年GDP总量2,693.20亿元、列全省第二位，一般公共预算收入206.10亿元、列全省第二位。整体来看，大庆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大庆市财政体量在黑龙江省位居前列，税收占比—、税收占比处于一般水平，但政府性基金收入总体平稳；2025年末宽口径债务率153.05%、处于可控水平，整体处于可控水平。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大庆市一般公共预算收入分别为170.08亿元、167.89亿元、206.10亿元，其中税收收入116.52亿元、123.55亿元、—亿元，税收占比维持在68.51%、73.59%、—；一般公共预算支出368.95亿元、398.16亿元、426.80亿元，财政自给率46.10%、42.17%、48.29%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政府性基金收入方面，2023、2024、2025年分别为15.74亿元、17.91亿元、14.40亿元，政府性基金收入总体平稳，反映地方综合财力对房地产周期的敞口。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图表：2023-2025年大庆市财政收入情况(单位:亿元、%)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398.16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-19.60%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资料来源:大庆市财政决算、企业预警通,风控信评部整理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土地市场方面，【待补充:大庆市土地出让与房地产销售数据（土地市场数据库未覆盖该市）】。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大庆市地方政府债务余额分别为503.44亿元、602.25亿元、737.85亿元，2025年末债务限额742.19亿元，债务余额控制在限额以内；城投有息债务2025年末估算余额167.28亿元。债务率指标看，2025年末政府债务率124.76%、城投债务率28.29%、宽口径债务率153.05%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大庆市财政基本盘较为扎实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