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牡丹江市信用评级报告(区域部分)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牡丹江经济总量列黑龙江省第五位，人均GDP约5.06万元、人均经济实力居全省中游，经济增速由4.24%回升至4.80%、动能边际改善；固定资产投资连续负增长（最新-28.50%），经济动能仍有待修复。【待补充：牡丹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牡丹江市2023、2024、2025年地区生产总值分别为1,045.41亿元、1,051.36亿元、1,094.77亿元，同比增长4.24%、3.85%、4.80%。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产业结构方面，2025年牡丹江市三次产业结构为19.5:17.4:63.1。【待补充：支柱产业、主要龙头企业、对外贸易等定性描述（数据库未覆盖）】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2023、2024、2025年固定资产投资增速分别为-3.30%、3.60%、-28.50%，2025年社会消费品零售总额494.70亿元，进出口总额59.01亿美元。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牡丹江市2025年GDP总量1,094.77亿元、列全省第五位，一般公共预算收入96.26亿元、列全省第四位。整体来看，牡丹江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牡丹江市财政体量在黑龙江省处于中游，税收占比—、税收占比处于一般水平，但政府性基金收入较2023年累计增长26%；2025年末宽口径债务率993.73%、处于偏高水平，已显著高于公认的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牡丹江市一般公共预算收入分别为88.29亿元、89.01亿元、96.26亿元，其中税收收入32.84亿元、33.01亿元、—亿元，税收占比维持在37.20%、37.09%、—；一般公共预算支出351.86亿元、390.29亿元、378.43亿元，财政自给率25.09%、22.81%、25.44%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政府性基金收入方面，2023、2024、2025年分别为6.01亿元、7.06亿元、7.57亿元，政府性基金收入较2023年累计增长26%，反映地方综合财力对房地产周期的敞口。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图表：2023-2025年牡丹江市财政收入情况(单位:亿元、%)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378.43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资料来源:牡丹江市财政决算、企业预警通,风控信评部整理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土地市场方面，【待补充:牡丹江市土地出让与房地产销售数据（土地市场数据库未覆盖该市）】。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牡丹江市地方政府债务余额分别为576.18亿元、706.02亿元、821.71亿元，2025年末债务限额831.51亿元，债务余额控制在限额以内；城投有息债务2025年末估算余额211.20亿元。债务率指标看，2025年末政府债务率790.55%、城投债务率203.19%、宽口径债务率993.73%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牡丹江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