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鸡西市信用评级报告(区域部分)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鸡西经济总量列黑龙江省第八位，人均GDP约4.67万元、人均经济实力在省内相对靠后，经济增速由1.31%回升至3.70%、动能边际改善；固定资产投资连续负增长（最新-35.00%），经济动能仍有待修复。【待补充：鸡西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鸡西市2023、2024、2025年地区生产总值分别为668.66亿元、621.40亿元、648.50亿元，同比增长1.31%、-1.10%、3.70%。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产业结构方面，2025年鸡西市三次产业结构为32.7:18.7:48.6。【待补充：支柱产业、主要龙头企业、对外贸易等定性描述（数据库未覆盖）】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2023、2024、2025年固定资产投资增速分别为-5.70%、-8.20%、-35.00%，2025年社会消费品零售总额163.20亿元，进出口总额10.53亿美元。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图表：2025年黑龙江省各地级市主要经济指标对比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哈尔滨市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6,188.50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齐齐哈尔市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绥化市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40.8:14.6:44.6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牡丹江市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1,094.77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19.5:17.4:63.1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佳木斯市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40.4:9:50.6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黑河市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31.3:14.1:54.6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鸡西市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32.7:18.7:48.6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双鸭山市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34.8:20.3:44.9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34.8:17:48.2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七台河市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大兴安岭地区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鸡西市2025年GDP总量648.50亿元、列全省第八位，一般公共预算收入55.20亿元、列全省第九位。整体来看，鸡西市经济基本面在黑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鸡西市财政体量在黑龙江省处于中游，税收占比37.32%、税收占比处于一般水平，但政府性基金收入总体平稳；2025年末宽口径债务率887.93%、处于偏高水平，已显著高于公认的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鸡西市一般公共预算收入分别为49.66亿元、51.36亿元、55.20亿元，其中税收收入27.23亿元、23.53亿元、20.60亿元，税收占比维持在54.83%、45.82%、37.32%；一般公共预算支出237.65亿元、260.63亿元、245.80亿元，财政自给率20.90%、19.71%、22.46%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政府性基金收入方面，2023、2024、2025年分别为5.64亿元、4.76亿元、5.30亿元，政府性基金收入总体平稳，反映地方综合财力对房地产周期的敞口。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图表：2023-2025年鸡西市财政收入情况(单位:亿元、%)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-12.45%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237.65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-5.69%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11.34%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资料来源:鸡西市财政决算、企业预警通,风控信评部整理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土地市场方面，【待补充:鸡西市土地出让与房地产销售数据（土地市场数据库未覆盖该市）】。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鸡西市地方政府债务余额分别为264.30亿元、359.98亿元、400.79亿元，2025年末债务限额403.71亿元，债务余额控制在限额以内；城投有息债务2025年末估算余额136.87亿元。债务率指标看，2025年末政府债务率661.90%、城投债务率226.03%、宽口径债务率887.93%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鸡西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