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黑河市信用评级报告(区域部分)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黑河经济总量列黑龙江省第七位，人均GDP约6.24万元、人均经济实力居全省前列，经济增速由3.96%回升至4.40%、动能边际改善；固定资产投资最新增速8.20%，经济运行总体平稳。【待补充：黑河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黑河市2023、2024、2025年地区生产总值分别为711.34亿元、711.40亿元、742.30亿元，同比增长3.96%、3.30%、4.40%。截至2025年末，全市常住人口119.00万人，人均GDP约6.24万元（按当年GDP与常住人口估算）。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产业结构方面，2025年黑河市三次产业结构为31.3:14.1:54.6。【待补充：支柱产业、主要龙头企业、对外贸易等定性描述（数据库未覆盖）】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2023、2024、2025年固定资产投资增速分别为-9.30%、5.70%、8.20%，进出口总额51.66亿美元。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图表：2025年黑龙江省各地级市主要经济指标对比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哈尔滨市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6,188.50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齐齐哈尔市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绥化市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40.8:14.6:44.6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牡丹江市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1,094.77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19.5:17.4:63.1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佳木斯市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40.4:9:50.6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黑河市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31.3:14.1:54.6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鸡西市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32.7:18.7:48.6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双鸭山市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34.8:20.3:44.9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34.8:17:48.2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七台河市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大兴安岭地区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黑河市2025年GDP总量742.30亿元、列全省第七位，一般公共预算收入62.20亿元、列全省第七位。整体来看，黑河市经济基本面在黑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黑河市财政体量在黑龙江省处于中游，税收占比45.98%、税收占比处于一般水平，但政府性基金收入较2023年累计下降11%、土地财政贡献度弱化；2025年末宽口径债务率448.61%、处于偏高水平，已显著高于公认的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黑河市一般公共预算收入分别为52.46亿元、56.17亿元、62.20亿元，其中税收收入25.23亿元、24.84亿元、28.60亿元，税收占比维持在48.10%、44.22%、45.98%；一般公共预算支出290.68亿元、323.45亿元、332.80亿元，财政自给率18.05%、17.36%、18.69%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政府性基金收入方面，2023、2024、2025年分别为4.62亿元、5.38亿元、4.10亿元，政府性基金收入较2023年累计下降11%、土地财政贡献度弱化，反映地方综合财力对房地产周期的敞口。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图表：2023-2025年黑河市财政收入情况(单位:亿元、%)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15.14%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290.68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323.45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332.80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-23.79%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资料来源:黑河市财政决算、企业预警通,风控信评部整理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土地市场方面，【待补充:黑河市土地出让与房地产销售数据（土地市场数据库未覆盖该市）】。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黑河市地方政府债务余额分别为228.38亿元、247.92亿元、277.34亿元，2025年末债务限额278.82亿元，债务余额控制在限额以内；城投有息债务2025年末估算余额20.09亿元。债务率指标看，2025年末政府债务率418.31%、城投债务率30.30%、宽口径债务率448.61%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黑河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