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衡水市信用评级报告(区域部分)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衡水经济总量列河北省第九位，人均GDP约—万元、人均经济实力居省内中游，经济增速维持在5.50%左右、总体平稳；固定资产投资最新增速10.00%，经济运行总体平稳。【待补充：衡水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衡水市2023、2024、2025年地区生产总值分别为1,915.10亿元、1,956.90亿元、2,011.80亿元，同比增长5.60%、5.40%、5.50%。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产业结构方面，2025年衡水市三次产业结构为12.8:32.7:54.5。【待补充：支柱产业、主要龙头企业、对外贸易等定性描述（数据库未覆盖）】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2023、2024、2025年固定资产投资增速分别为6.40%、7.20%、10.00%，2025年社会消费品零售总额705.50亿元，进出口总额27.50亿美元。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图表：2025年河北省各地级市主要经济指标对比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唐山市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10,450.20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6.4:49.1:44.5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588.20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石家庄市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8,651.70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727.50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保定市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5,002.50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10.7:33:56.3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327.06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沧州市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4,930.90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353.17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邯郸市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4,920.10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386.37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廊坊市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4,040.50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311.80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邢台市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2,800.00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220.90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秦皇岛市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2,200.40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174.70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衡水市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2,011.80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12.8:32.7:54.5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155.48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承德市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2,001.70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144.82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张家口市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1,970.70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193.38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衡水市2025年GDP总量2,011.80亿元、列全省第九位，一般公共预算收入155.48亿元、列全省第十位。整体来看，衡水市经济基本面在河北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衡水市财政体量在河北省处于中游，税收占比53.49%、税收占比处于一般水平，但政府性基金收入较2023年累计下降51%、土地财政贡献度弱化；2025年末宽口径债务率458.46%、处于偏高水平，已显著高于公认的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衡水市一般公共预算收入分别为151.77亿元、152.69亿元、155.48亿元，其中税收收入81.08亿元、81.49亿元、83.17亿元，税收占比维持在53.42%、53.37%、53.49%；一般公共预算支出440.34亿元、451.68亿元、442.92亿元，财政自给率34.47%、33.81%、35.10%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政府性基金收入方面，2023、2024、2025年分别为62.64亿元、38.60亿元、30.39亿元，政府性基金收入较2023年累计下降51%、土地财政贡献度弱化，反映地方综合财力对房地产周期的敞口。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图表：2023-2025年衡水市财政收入情况(单位:亿元、%)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151.77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152.69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0.61%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155.48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1.83%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81.08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81.49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0.51%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83.17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2.06%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53.42%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53.37%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53.49%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440.34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451.68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2.58%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442.92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-1.94%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34.47%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33.81%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35.10%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-38.38%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30.39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-21.27%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资料来源:衡水市财政决算、企业预警通,风控信评部整理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土地市场方面，【待补充:衡水市土地出让与房地产销售数据（土地市场数据库未覆盖该市）】。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衡水市地方政府债务余额分别为651.79亿元、722.35亿元、836.63亿元，2025年末债务限额849.71亿元，债务余额控制在限额以内；城投有息债务2025年末估算余额17.90亿元。债务率指标看，2025年末政府债务率448.86%、城投债务率9.60%、宽口径债务率458.46%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衡水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