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邢台市信用评级报告(区域部分)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邢台经济总量列河北省第七位，人均GDP约—万元、人均经济实力居省内中游，经济增速由4.30%回升至5.00%、动能边际改善；固定资产投资最新增速7.40%，经济运行总体平稳。【待补充：邢台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邢台市2023、2024、2025年地区生产总值分别为2,696.10亿元、2,765.90亿元、2,800.00亿元，同比增长4.30%、4.50%、5.00%。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产业结构方面，2025年邢台市三次产业结构为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2023、2024、2025年固定资产投资增速分别为3.00%、9.80%、7.40%，进出口总额31.44亿美元。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邢台市2025年GDP总量2,800.00亿元、列全省第七位，一般公共预算收入220.90亿元、列全省第七位。整体来看，邢台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邢台市财政体量在河北省处于中游，税收占比56.50%、税收占比处于一般水平，但政府性基金收入较2023年累计下降18%、土地财政贡献度弱化；2025年末宽口径债务率578.33%、处于偏高水平，已显著高于公认的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邢台市一般公共预算收入分别为214.42亿元、216.96亿元、220.90亿元，其中税收收入119.93亿元、118.76亿元、124.80亿元，税收占比维持在55.93%、54.74%、56.50%；一般公共预算支出641.74亿元、685.93亿元、701.90亿元，财政自给率33.41%、31.63%、31.47%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政府性基金收入方面，2023、2024、2025年分别为145.75亿元、101.44亿元、120.20亿元，政府性基金收入较2023年累计下降18%、土地财政贡献度弱化，反映地方综合财力对房地产周期的敞口。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图表：2023-2025年邢台市财政收入情况(单位:亿元、%)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641.74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资料来源:邢台市财政决算、企业预警通,风控信评部整理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土地市场方面，【待补充:邢台市土地出让与房地产销售数据（土地市场数据库未覆盖该市）】。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邢台市地方政府债务余额分别为1,103.63亿元、1,226.60亿元、1,409.08亿元，2025年末债务限额1,432.91亿元，债务余额控制在限额以内；城投有息债务2025年末估算余额595.40亿元。债务率指标看，2025年末政府债务率406.54%、城投债务率171.78%、宽口径债务率578.33%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邢台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