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三门峡市信用评级报告(区域部分)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三门峡经济总量列河南省第16位，人均GDP约8.51万元、人均经济实力居全省前列，经济增速由1.84%回升至6.10%、动能边际改善；固定资产投资最新增速5.40%，经济运行总体平稳。【待补充：三门峡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三门峡市2023、2024、2025年地区生产总值分别为1,550.53亿元、1,627.24亿元、1,702.61亿元，同比增长1.84%、5.10%、6.10%。截至2025年末，全市常住人口199.50万人，人均GDP约8.51万元。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产业结构方面，2025年三门峡市三次产业结构为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2023、2024、2025年固定资产投资增速分别为-23.30%、6.70%、5.40%，2025年社会消费品零售总额556.47亿元，进出口总额26.47亿美元。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三门峡市2025年GDP总量1,702.61亿元、列全省第16位，一般公共预算收入149.51亿元、列全省第11位。整体来看，三门峡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三门峡市财政体量在河南省处于中游，税收占比59.82%、税收占比处于一般水平，但政府性基金收入较2023年累计下降11%、土地财政贡献度弱化；2025年末宽口径债务率549.13%、处于偏高水平，已显著高于公认的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三门峡市一般公共预算收入分别为140.69亿元、143.54亿元、149.51亿元，其中税收收入90.82亿元、88.32亿元、89.44亿元，税收占比维持在64.55%、61.53%、59.82%；一般公共预算支出283.02亿元、286.29亿元、286.72亿元，财政自给率49.71%、50.14%、52.14%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政府性基金收入方面，2023、2024、2025年分别为37.25亿元、35.02亿元、33.26亿元，政府性基金收入较2023年累计下降11%、土地财政贡献度弱化，反映地方综合财力对房地产周期的敞口。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图表：2023-2025年三门峡市财政收入情况(单位:亿元、%)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286.72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-5.03%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资料来源:三门峡市财政决算、企业预警通,风控信评部整理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土地市场方面，【待补充:三门峡市土地出让与房地产销售数据（土地市场数据库未覆盖该市）】。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三门峡市地方政府债务余额分别为368.40亿元、468.53亿元、564.72亿元，2025年末债务限额570.80亿元，债务余额控制在限额以内；城投有息债务2025年末估算余额463.48亿元。债务率指标看，2025年末政府债务率301.60%、城投债务率247.53%、宽口径债务率549.13%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三门峡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