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商丘市信用评级报告(区域部分)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商丘经济总量列河南省第八位，人均GDP约4.58万元、人均经济实力在省内相对靠后，经济增速由3.70%回升至6.20%、动能边际改善；固定资产投资最新增速5.20%，经济运行总体平稳。【待补充：商丘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商丘市2023、2024、2025年地区生产总值分别为3,188.78亿元、3,286.72亿元、3,475.38亿元，同比增长3.70%、4.10%、6.20%。截至2025年末，全市常住人口756.40万人，人均GDP约4.58万元。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产业结构方面，2025年商丘市三次产业结构为17.3:32.2:50.5。【待补充：支柱产业、主要龙头企业、对外贸易等定性描述（数据库未覆盖）】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2023、2024、2025年固定资产投资增速分别为6.10%、8.10%、5.20%，2025年社会消费品零售总额1,646.66亿元，进出口总额12.96亿美元。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商丘市2025年GDP总量3,475.38亿元、列全省第八位，一般公共预算收入193.40亿元、列全省第九位。整体来看，商丘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商丘市财政体量在河南省处于中游，税收占比56.07%、税收占比处于一般水平，但政府性基金收入较2023年累计增长20%；2025年末宽口径债务率796.31%、处于偏高水平，已显著高于公认的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商丘市一般公共预算收入分别为200.94亿元、183.88亿元、193.40亿元，其中税收收入119.72亿元、107.26亿元、108.44亿元，税收占比维持在59.58%、58.33%、56.07%；一般公共预算支出561.82亿元、572.46亿元、575.60亿元，财政自给率35.77%、32.12%、33.60%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政府性基金收入方面，2023、2024、2025年分别为80.14亿元、108.78亿元、96.50亿元，政府性基金收入较2023年累计增长20%，反映地方综合财力对房地产周期的敞口。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图表：2023-2025年商丘市财政收入情况(单位:亿元、%)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-11.29%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资料来源:商丘市财政决算、企业预警通,风控信评部整理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土地市场方面，【待补充:商丘市土地出让与房地产销售数据（土地市场数据库未覆盖该市）】。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商丘市地方政府债务余额分别为947.11亿元、1,395.28亿元、1,627.02亿元，2025年末债务限额1,640.40亿元，债务余额控制在限额以内；城投有息债务2025年末估算余额719.71亿元。债务率指标看，2025年末政府债务率552.09%、城投债务率244.22%、宽口径债务率796.31%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商丘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