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安阳市信用评级报告(区域部分)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安阳经济总量列河南省第12位，人均GDP约—万元、人均经济实力居省内中游，经济增速由3.33%回升至5.50%、动能边际改善；固定资产投资最新增速5.31%，经济运行总体平稳。【待补充：安阳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安阳市2023、2024、2025年地区生产总值分别为2,572.91亿元、2,657.50亿元、2,765.80亿元，同比增长3.33%、4.60%、5.50%。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产业结构方面，2025年安阳市三次产业结构为7.75:39.26:52.99。【待补充：支柱产业、主要龙头企业、对外贸易等定性描述（数据库未覆盖）】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2023、2024、2025年固定资产投资增速分别为-1.90%、8.00%、5.31%，2025年社会消费品零售总额1,034.96亿元，进出口总额14.87亿美元。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图表：2025年河南省各地级市主要经济指标对比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郑州市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15,244.60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11.63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1.2:36.6:62.2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1,181.30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1313.80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洛阳市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6,164.52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3.7:40.1:56.2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421.80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708.30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南阳市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5,167.86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15.3:31.9:52.8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939.50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周口市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3,810.83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4.42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15.5:32.5:52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220.64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859.90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新乡市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3,687.07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234.72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许昌市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3,583.40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5.8:42.6:51.6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434.60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驻马店市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3,501.64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15.5:32.1:52.4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214.04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商丘市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3,475.38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6.20%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17.3:32.2:50.5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756.40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信阳市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3,196.70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15.9:31.3:52.8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137.16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595.70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平顶山市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2,929.40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226.62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开封市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2,860.06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12.6:34.6:52.8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139.70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468.70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安阳市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2,765.80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7.75:39.26:52.99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焦作市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2,479.60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135.10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濮阳市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2,106.17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10.5:37.4:52.1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123.50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漯河市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1,953.95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145.50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三门峡市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1,702.61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149.51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199.50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鹤壁市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1,144.12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6.8:48.8:44.4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155.40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安阳市2025年GDP总量2,765.80亿元、列全省第12位，一般公共预算收入244.20亿元、列全省第三位。整体来看，安阳市经济基本面在河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安阳市财政体量在河南省位居前列，税收占比59.99%、税收占比处于一般水平，但政府性基金收入较2023年累计下降53%、土地财政贡献度弱化；2025年末宽口径债务率493.97%、处于偏高水平，已显著高于公认的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安阳市一般公共预算收入分别为235.70亿元、240.60亿元、244.20亿元，其中税收收入152.60亿元、146.20亿元、146.50亿元，税收占比维持在64.74%、60.76%、59.99%；一般公共预算支出446.80亿元、451.20亿元、458.90亿元，财政自给率52.75%、53.32%、53.21%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政府性基金收入方面，2023、2024、2025年分别为65.10亿元、37.80亿元、30.50亿元，政府性基金收入较2023年累计下降53%、土地财政贡献度弱化，反映地方综合财力对房地产周期的敞口。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图表：2023-2025年安阳市财政收入情况(单位:亿元、%)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235.70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240.60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244.20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1.50%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152.60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64.74%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59.99%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446.80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0.98%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1.71%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52.75%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53.32%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53.21%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37.80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-41.94%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-19.31%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资料来源:安阳市财政决算、企业预警通,风控信评部整理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土地市场方面，【待补充:安阳市土地出让与房地产销售数据（土地市场数据库未覆盖该市）】。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安阳市地方政府债务余额分别为713.23亿元、818.22亿元、928.40亿元，2025年末债务限额943.10亿元，债务余额控制在限额以内；城投有息债务2025年末估算余额430.25亿元。债务率指标看，2025年末政府债务率337.54%、城投债务率156.43%、宽口径债务率493.97%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安阳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