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洛阳市信用评级报告(区域部分)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洛阳经济总量列河南省第二位，人均GDP约8.70万元、人均经济实力居全省前列，经济增速由3.53%回升至6.00%、动能边际改善；固定资产投资最新增速5.00%，经济运行总体平稳。【待补充：洛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洛阳市2023、2024、2025年地区生产总值分别为5,530.95亿元、5,825.86亿元、6,164.52亿元，同比增长3.53%、4.90%、6.00%。截至2025年末，全市常住人口708.30万人，人均GDP约8.70万元（按当年GDP与常住人口估算）。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产业结构方面，2025年洛阳市三次产业结构为3.7:40.1:56.2。【待补充：支柱产业、主要龙头企业、对外贸易等定性描述（数据库未覆盖）】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2023、2024、2025年固定资产投资增速分别为-7.50%、5.20%、5.00%，2025年社会消费品零售总额2,475.10亿元，进出口总额42.54亿美元。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洛阳市2025年GDP总量6,164.52亿元、列全省第二位，一般公共预算收入421.80亿元、列全省第二位。整体来看，洛阳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洛阳市财政体量在河南省位居前列，税收占比67.16%、税收质量较好，但政府性基金收入较2023年累计增长15%；2025年末宽口径债务率543.02%、处于偏高水平，已显著高于公认的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洛阳市一般公共预算收入分别为404.29亿元、406.96亿元、421.80亿元，其中税收收入265.64亿元、268.42亿元、283.30亿元，税收占比维持在65.71%、65.96%、67.16%；一般公共预算支出666.60亿元、701.85亿元、723.30亿元，财政自给率60.65%、57.98%、58.32%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政府性基金收入方面，2023、2024、2025年分别为196.10亿元、269.71亿元、225.70亿元，政府性基金收入较2023年累计增长15%，反映地方综合财力对房地产周期的敞口。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图表：2023-2025年洛阳市财政收入情况(单位:亿元、%)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406.96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265.64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701.85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269.71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-16.32%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资料来源:洛阳市财政决算、企业预警通,风控信评部整理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土地市场方面，【待补充:洛阳市土地出让与房地产销售数据（土地市场数据库未覆盖该市）】。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洛阳市地方政府债务余额分别为1,202.84亿元、1,549.45亿元、1,895.20亿元，2025年末债务限额1,915.30亿元，债务余额控制在限额以内；城投有息债务2025年末估算余额1,669.75亿元。债务率指标看，2025年末政府债务率288.68%、城投债务率254.34%、宽口径债务率543.02%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洛阳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