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焦作市信用评级报告(区域部分)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焦作经济总量列河南省第13位，人均GDP约—万元、人均经济实力居省内中游，经济增速由3.90%回升至6.50%、动能边际改善；固定资产投资最新增速5.80%，经济运行总体平稳。【待补充：焦作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焦作市2023、2024、2025年地区生产总值分别为2,236.73亿元、2,361.30亿元、2,479.60亿元，同比增长3.90%、5.40%、6.50%。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产业结构方面，2025年焦作市三次产业结构为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2023、2024、2025年固定资产投资增速分别为7.40%、8.30%、5.80%，进出口总额32.54亿美元。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图表：2025年河南省各地级市主要经济指标对比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郑州市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15,244.60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1.2:36.6:62.2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1313.80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洛阳市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6,164.52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3.7:40.1:56.2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5,167.86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15.3:31.9:52.8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周口市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3,810.83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859.90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3,687.07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234.72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许昌市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5.8:42.6:51.6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434.60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驻马店市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3,501.64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15.5:32.1:52.4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商丘市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3,475.38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17.3:32.2:50.5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3,196.70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15.9:31.3:52.8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137.16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平顶山市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开封市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2,860.06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12.6:34.6:52.8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2,765.80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7.75:39.26:52.99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焦作市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2,479.60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濮阳市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2,106.17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10.5:37.4:52.1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漯河市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1,953.95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三门峡市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1,144.12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6.8:48.8:44.4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焦作市2025年GDP总量2,479.60亿元、列全省第13位，一般公共预算收入135.10亿元、列全省第15位。整体来看，焦作市经济基本面在河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焦作市财政体量在河南省处于中游，税收占比70.02%、税收质量较好，但政府性基金收入较2023年累计增长37%；2025年末宽口径债务率566.00%、处于偏高水平，已显著高于公认的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焦作市一般公共预算收入分别为143.55亿元、128.48亿元、135.10亿元，其中税收收入109.33亿元、92.68亿元、94.60亿元，税收占比维持在76.16%、72.14%、70.02%；一般公共预算支出302.44亿元、332.06亿元、312.90亿元，财政自给率47.46%、38.69%、43.18%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政府性基金收入方面，2023、2024、2025年分别为55.56亿元、60.58亿元、76.10亿元，政府性基金收入较2023年累计增长37%，反映地方综合财力对房地产周期的敞口。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图表：2023-2025年焦作市财政收入情况(单位:亿元、%)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143.55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302.44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332.06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312.90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-5.77%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25.62%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资料来源:焦作市财政决算、企业预警通,风控信评部整理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土地市场方面，【待补充:焦作市土地出让与房地产销售数据（土地市场数据库未覆盖该市）】。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焦作市地方政府债务余额分别为570.19亿元、677.87亿元、794.43亿元，2025年末债务限额805.20亿元，债务余额控制在限额以内；城投有息债务2025年末估算余额407.76亿元。债务率指标看，2025年末政府债务率374.03%、城投债务率191.98%、宽口径债务率566.00%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焦作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