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许昌市信用评级报告(区域部分)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许昌经济总量列河南省第六位，人均GDP约8.23万元、人均经济实力居全省中游，经济增速由0.90%回升至6.30%、动能边际改善；固定资产投资最新增速5.40%，经济运行总体平稳。【待补充：许昌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许昌市2023、2024、2025年地区生产总值分别为3,247.86亿元、3,413.92亿元、3,583.40亿元，同比增长0.90%、6.00%、6.30%。截至2025年末，全市常住人口434.60万人，人均GDP约8.23万元。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产业结构方面，2025年许昌市三次产业结构为5.8:42.6:51.6。【待补充：支柱产业、主要龙头企业、对外贸易等定性描述（数据库未覆盖）】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2023、2024、2025年固定资产投资增速分别为6.10%、8.50%、5.40%，2025年社会消费品零售总额1,869.70亿元，进出口总额37.16亿美元。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许昌市2025年GDP总量3,583.40亿元、列全省第六位，一般公共预算收入192.13亿元、列全省第十位。整体来看，许昌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许昌市财政体量在河南省处于中游，税收占比64.33%、税收质量较好，但政府性基金收入较2023年累计增长16%；2025年末宽口径债务率652.96%、处于偏高水平，已显著高于公认的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许昌市一般公共预算收入分别为211.87亿元、183.87亿元、192.13亿元，其中税收收入142.23亿元、121.39亿元、123.59亿元，税收占比维持在67.13%、66.02%、64.33%；一般公共预算支出348.11亿元、364.08亿元、380.97亿元，财政自给率60.86%、50.50%、50.43%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政府性基金收入方面，2023、2024、2025年分别为69.32亿元、78.65亿元、80.07亿元，政府性基金收入较2023年累计增长16%，反映地方综合财力对房地产周期的敞口。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图表：2023-2025年许昌市财政收入情况(单位:亿元、%)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211.87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183.87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142.23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364.08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资料来源:许昌市财政决算、企业预警通,风控信评部整理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土地市场方面，【待补充:许昌市土地出让与房地产销售数据（土地市场数据库未覆盖该市）】。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许昌市地方政府债务余额分别为828.30亿元、992.34亿元、1,202.44亿元，2025年末债务限额1,214.57亿元，债务余额控制在限额以内；城投有息债务2025年末估算余额871.03亿元。债务率指标看，2025年末政府债务率378.66%、城投债务率274.30%、宽口径债务率652.96%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许昌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