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郑州市信用评级报告(区域部分)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郑州经济总量在河南省稳居第一，人均GDP约11.63万元、人均经济实力居全省前列，经济增速由7.50%回落至5.40%、有所放缓；固定资产投资最新增速5.30%，经济运行总体平稳。【待补充：郑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郑州市2023、2024、2025年地区生产总值分别为13,926.81亿元、14,569.60亿元、15,244.60亿元，同比增长7.50%、5.70%、5.40%。截至2025年末，全市常住人口1313.80万人，人均GDP约11.63万元。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产业结构方面，2025年郑州市三次产业结构为1.2:36.6:62.2。【待补充：支柱产业、主要龙头企业、对外贸易等定性描述（数据库未覆盖）】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2023、2024年固定资产投资增速分别为6.80%、5.30%，2025年社会消费品零售总额6,629.40亿元，进出口总额909.53亿美元。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郑州市2025年GDP总量15,244.60亿元、列全省第一位，一般公共预算收入1,181.30亿元、列全省第一位。整体来看，郑州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郑州市财政体量在河南省稳居第一，税收占比67.37%、税收质量较好，但政府性基金收入较2023年累计下降28%、土地财政贡献度弱化；2025年末宽口径债务率907.35%、处于偏高水平，已显著高于公认的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郑州市一般公共预算收入分别为1,165.85亿元、1,155.04亿元、1,181.30亿元，其中税收收入786.38亿元、775.39亿元、795.90亿元，税收占比维持在67.45%、67.13%、67.37%；一般公共预算支出1,519.62亿元、1,525.71亿元、1,517.10亿元，财政自给率76.72%、75.70%、77.87%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政府性基金收入方面，2023、2024、2025年分别为387.86亿元、347.72亿元、277.50亿元，政府性基金收入较2023年累计下降28%、土地财政贡献度弱化，反映地方综合财力对房地产周期的敞口。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图表：2023-2025年郑州市财政收入情况(单位:亿元、%)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1,165.85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1,155.04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786.38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1,519.62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1,525.71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1,517.10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-20.19%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资料来源:郑州市财政决算、企业预警通,风控信评部整理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郑州市经营性用地成交价分别为1,026.36亿元、514.64亿元、399.93亿元、283.02亿元、220.67亿元，2025年较2021年下降78.50%；同期平均溢价率为6.11%、0.64%、0.84%、1.83%、3.84%；成交楼面均价由2,385元/㎡降至1,022元/㎡、累计下降57.15%。2026年1-4月，郑州市经营性用地累计成交44宗、规划建面308.93万㎡、成交价28.12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图表:2021-2025年郑州市土地出让情况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4,303.47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1,026.36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4,055.81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514.64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3,199.36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399.93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4,146.79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283.02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2,156.42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308.93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郑州市商品住宅成交面积由1,466.22万㎡变动至575.18万㎡、累计下降60.8%；新房均价2025年为11,458元/㎡、较2021年高点(12,956元/㎡)累计下跌11.56%。据中指冰山指数(最低挂牌价口径)，郑州二手房挂牌价较2018年5月高点累计下跌51.16%，2023年累计跌幅-9.19%、2024年累计跌幅-12.39%、2025年累计跌幅-14.00%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郑州市地方政府债务余额分别为3,355.33亿元、3,938.82亿元、4,672.90亿元，2025年末债务限额4,748.40亿元，债务余额控制在限额以内；城投有息债务2025年末估算余额8,929.15亿元。债务率指标看，2025年末政府债务率311.71%、城投债务率595.63%、宽口径债务率907.35%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郑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