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驻马店市信用评级报告(区域部分)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驻马店经济总量列河南省第七位，人均GDP约—万元、人均经济实力居省内中游，经济增速由4.55%回升至6.00%、动能边际改善；固定资产投资最新增速4.30%，经济运行总体平稳。【待补充：驻马店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驻马店市2023、2024、2025年地区生产总值分别为3,128.31亿元、3,352.55亿元、3,501.64亿元，同比增长4.55%、6.10%、6.00%。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产业结构方面，2025年驻马店市三次产业结构为15.5:32.1:52.4。【待补充：支柱产业、主要龙头企业、对外贸易等定性描述（数据库未覆盖）】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2023、2024、2025年固定资产投资增速分别为7.50%、9.00%、4.30%。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驻马店市2025年GDP总量3,501.64亿元、列全省第七位，一般公共预算收入214.04亿元、列全省第八位。整体来看，驻马店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驻马店市财政体量在河南省处于中游，税收占比55.58%、税收占比处于一般水平，但政府性基金收入较2023年累计下降28%、土地财政贡献度弱化；2025年末宽口径债务率583.76%、处于偏高水平，已显著高于公认的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驻马店市一般公共预算收入分别为211.29亿元、210.86亿元、214.04亿元，其中税收收入131.01亿元、124.73亿元、118.96亿元，税收占比维持在62.01%、59.15%、55.58%；一般公共预算支出655.71亿元、663.73亿元、641.18亿元，财政自给率32.22%、31.77%、33.38%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政府性基金收入方面，2023、2024、2025年分别为134.99亿元、110.14亿元、97.48亿元，政府性基金收入较2023年累计下降28%、土地财政贡献度弱化，反映地方综合财力对房地产周期的敞口。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图表：2023-2025年驻马店市财政收入情况(单位:亿元、%)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-4.63%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663.73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641.18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-11.49%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资料来源:驻马店市财政决算、企业预警通,风控信评部整理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土地市场方面，【待补充:驻马店市土地出让与房地产销售数据（土地市场数据库未覆盖该市）】。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驻马店市地方政府债务余额分别为933.95亿元、1,142.30亿元、1,338.10亿元，2025年末债务限额1,348.90亿元，债务余额控制在限额以内；城投有息债务2025年末估算余额502.22亿元。债务率指标看，2025年末政府债务率424.46%、城投债务率159.31%、宽口径债务率583.76%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驻马店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