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鹤壁市信用评级报告(区域部分)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鹤壁经济总量列河南省第17位，人均GDP约7.35万元、人均经济实力居全省中游，经济增速由3.13%回升至6.60%、动能边际改善；固定资产投资最新增速5.90%，经济运行总体平稳。【待补充：鹤壁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鹤壁市2023、2024、2025年地区生产总值分别为1,042.64亿元、1,088.01亿元、1,144.12亿元，同比增长3.13%、5.50%、6.60%。截至2025年末，全市常住人口155.40万人，人均GDP约7.35万元。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产业结构方面，2025年鹤壁市三次产业结构为6.8:48.8:44.4。【待补充：支柱产业、主要龙头企业、对外贸易等定性描述（数据库未覆盖）】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2023、2024、2025年固定资产投资增速分别为7.80%、8.30%、5.90%，2025年社会消费品零售总额452.42亿元，进出口总额5.99亿美元。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鹤壁市2025年GDP总量1,144.12亿元、列全省第17位，一般公共预算收入84.50亿元、列全省第17位。整体来看，鹤壁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鹤壁市财政体量在河南省处于中游，税收占比60.00%、税收质量较好，但政府性基金收入总体平稳；2025年末宽口径债务率628.70%、处于偏高水平，已显著高于公认的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鹤壁市一般公共预算收入分别为80.34亿元、81.58亿元、84.50亿元，其中税收收入51.54亿元、53.77亿元、50.70亿元，税收占比维持在64.15%、65.91%、60.00%；一般公共预算支出166.10亿元、190.82亿元、180.46亿元，财政自给率48.37%、42.75%、46.82%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政府性基金收入方面，2023、2024、2025年分别为32.06亿元、30.88亿元、32.18亿元，政府性基金收入总体平稳，反映地方综合财力对房地产周期的敞口。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图表：2023-2025年鹤壁市财政收入情况(单位:亿元、%)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-5.71%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180.46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资料来源:鹤壁市财政决算、企业预警通,风控信评部整理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土地市场方面，【待补充:鹤壁市土地出让与房地产销售数据（土地市场数据库未覆盖该市）】。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鹤壁市地方政府债务余额分别为428.68亿元、484.30亿元、536.20亿元，2025年末债务限额545.03亿元，债务余额控制在限额以内；城投有息债务2025年末估算余额205.73亿元。债务率指标看，2025年末政府债务率454.37%、城投债务率174.33%、宽口径债务率628.70%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鹤壁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