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丽水市信用评级报告(区域部分)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丽水经济总量列浙江省第11位，人均GDP约9.08万元、人均经济实力在省内相对靠后，经济增速由7.50%回落至6.40%、有所放缓；固定资产投资最新增速转负（-1.80%），经济动能仍有待修复。【待补充：丽水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丽水市2023、2024、2025年地区生产总值分别为2,043.00亿元、2,181.20亿元、2,301.40亿元，同比增长7.50%、6.60%、6.40%。截至2025年末，全市常住人口253.90万人，人均GDP约9.08万元。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产业结构方面，2025年丽水市三次产业结构为5.6:35.4:59。【待补充：支柱产业、主要龙头企业、对外贸易等定性描述（数据库未覆盖）】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2023、2024、2025年固定资产投资增速分别为15.60%、8.30%、-1.80%，2025年社会消费品零售总额1,035.80亿元，进出口总额62.94亿美元。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杭州市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23,011.00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1.7:24.5:73.8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1270.00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宁波市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18,716.00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2.5:42:55.5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983.30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温州市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10,213.90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2:36.3:61.7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绍兴市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8,932.10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3:47:50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544.30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7,851.06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2:48.4:49.6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652.44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561.30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7,313.47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2.3:37.4:60.3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726.90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7,005.87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5.2:41.8:53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676.00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湖州市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4,452.80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衢州市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4.1:40.5:55.4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229.70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舟山市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2,346.10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9.5:42.1:48.4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2,301.40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5.6:35.4:59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253.90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丽水市2025年GDP总量2,301.40亿元、列全省第11位，一般公共预算收入198.05亿元、列全省第11位。整体来看，丽水市经济基本面在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丽水市财政体量在浙江省处于中游，税收占比74.89%、税收质量较好，但政府性基金收入较2023年累计下降42%、土地财政贡献度弱化；2025年末宽口径债务率334.77%、处于偏高水平，已显著高于公认的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丽水市一般公共预算收入分别为186.06亿元、193.20亿元、198.05亿元，其中税收收入138.68亿元、143.21亿元、148.31亿元，税收占比维持在74.54%、74.13%、74.89%；一般公共预算支出653.65亿元、650.08亿元、617.71亿元，财政自给率28.46%、29.72%、32.06%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政府性基金收入方面，2023、2024、2025年分别为405.59亿元、294.61亿元、234.13亿元，政府性基金收入较2023年累计下降42%、土地财政贡献度弱化，反映地方综合财力对房地产周期的敞口。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图表：2023-2025年丽水市财政收入情况(单位:亿元、%)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143.21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617.71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-4.98%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-27.36%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-20.53%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资料来源:丽水市财政决算、企业预警通,风控信评部整理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土地市场方面，【待补充:丽水市土地出让与房地产销售数据（土地市场数据库未覆盖该市）】。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丽水市地方政府债务余额分别为1,190.82亿元、1,396.95亿元、1,638.64亿元，2025年末债务限额1,638.72亿元，债务余额控制在限额以内；城投有息债务2025年末估算余额1,820.93亿元。债务率指标看，2025年末政府债务率158.56%、城投债务率176.20%、宽口径债务率334.77%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丽水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