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嘉兴市信用评级报告(区域部分)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嘉兴经济总量列浙江省第五位，人均GDP约13.99万元、人均经济实力居全省中游，经济增速由6.40%回落至5.20%、有所放缓；固定资产投资连续负增长（最新-8.30%），经济动能仍有待修复。【待补充：嘉兴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嘉兴市2023、2024、2025年地区生产总值分别为7,253.56亿元、7,574.63亿元、7,851.06亿元，同比增长6.40%、5.60%、5.20%。截至2025年末，全市常住人口561.30万人，人均GDP约13.99万元。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产业结构方面，2025年嘉兴市三次产业结构为2:48.4:49.6。【待补充：支柱产业、主要龙头企业、对外贸易等定性描述（数据库未覆盖）】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2023、2024、2025年固定资产投资增速分别为7.40%、-1.70%、-8.30%，2025年社会消费品零售总额2,972.14亿元，进出口总额694.01亿美元。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嘉兴市2025年GDP总量7,851.06亿元、列全省第五位，一般公共预算收入652.44亿元、列全省第三位。整体来看，嘉兴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嘉兴市财政体量在浙江省位居前列，税收占比86.88%、税收质量较好，但政府性基金收入较2023年累计下降28%、土地财政贡献度弱化；2025年末宽口径债务率820.76%、处于偏高水平，已显著高于公认的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嘉兴市一般公共预算收入分别为632.02亿元、638.72亿元、652.44亿元，其中税收收入556.83亿元、542.04亿元、566.84亿元，税收占比维持在88.10%、84.86%、86.88%；一般公共预算支出826.99亿元、836.01亿元、800.12亿元，财政自给率76.42%、76.40%、81.54%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政府性基金收入方面，2023、2024、2025年分别为578.19亿元、450.65亿元、414.43亿元，政府性基金收入较2023年累计下降28%、土地财政贡献度弱化，反映地方综合财力对房地产周期的敞口。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图表：2023-2025年嘉兴市财政收入情况(单位:亿元、%)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632.02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826.99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836.01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-22.06%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414.43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-8.04%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资料来源:嘉兴市财政决算、企业预警通,风控信评部整理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嘉兴市经营性用地成交价分别为728.16亿元、476.00亿元、317.38亿元、222.10亿元、242.61亿元，2025年较2021年下降66.68%；同期平均溢价率为15.38%、4.22%、3.68%、1.40%、3.25%；成交楼面均价由2,215元/㎡降至577元/㎡、累计下降73.95%。2026年1-4月，嘉兴市经营性用地累计成交179宗、规划建面1245.39万㎡、成交价64.09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图表:2021-2025年嘉兴市土地出让情况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3,287.54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2,215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728.16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3,393.59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476.00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3,230.88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3,731.57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222.10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4,206.37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242.61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1245.39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64.09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嘉兴市商品住宅成交面积由854.07万㎡变动至158.01万㎡、累计下降81.5%；新房均价2025年为15,675元/㎡、较2022年高点(16,130元/㎡)累计下跌2.82%；2025年去化周期38.77个月。据中指冰山指数(最低挂牌价口径)，嘉兴二手房挂牌价较2021年5月高点累计下跌50.30%，2023年累计跌幅-14.39%、2024年累计跌幅-17.21%、2025年累计跌幅-17.96%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嘉兴市地方政府债务余额分别为1,988.19亿元、2,400.90亿元、2,691.36亿元，2025年末债务限额2,691.54亿元，债务余额控制在限额以内；城投有息债务2025年末估算余额10,112.81亿元。债务率指标看，2025年末政府债务率172.52%、城投债务率648.24%、宽口径债务率820.76%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嘉兴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