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宁波市信用评级报告(区域部分)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宁波经济总量列浙江省第二位，人均GDP约19.09万元、人均经济实力居全省前列，经济增速由6.00%回落至4.90%、有所放缓；固定资产投资连续负增长（最新-21.40%），经济动能仍有待修复。【待补充：宁波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宁波市2023、2024、2025年地区生产总值分别为17,146.60亿元、18,123.00亿元、18,716.00亿元，同比增长6.00%、5.40%、4.90%。截至2025年末，全市常住人口983.30万人，人均GDP约19.09万元。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产业结构方面，2025年宁波市三次产业结构为2.5:42:55.5。【待补充：支柱产业、主要龙头企业、对外贸易等定性描述（数据库未覆盖）】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2023、2024、2025年固定资产投资增速分别为7.50%、-1.40%、-21.40%，2025年社会消费品零售总额5,703.00亿元，进出口总额2,038.67亿美元。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杭州市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23,011.00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1.7:24.5:73.8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1270.00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宁波市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18,716.00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2.5:42:55.5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983.30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温州市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10,213.90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2:36.3:61.7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绍兴市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8,932.10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3:47:50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544.30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7,851.06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2:48.4:49.6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561.30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7,313.47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2.3:37.4:60.3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726.90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7,005.87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5.2:41.8:53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676.00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湖州市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4,452.80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衢州市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4.1:40.5:55.4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229.70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舟山市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2,346.10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9.5:42.1:48.4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2,301.40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5.6:35.4:59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253.90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宁波市2025年GDP总量18,716.00亿元、列全省第二位，一般公共预算收入1,795.23亿元、列全省第二位。整体来看，宁波市经济基本面在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宁波市财政体量在浙江省位居前列，税收占比82.22%、税收质量较好，但政府性基金收入较2023年累计下降41%、土地财政贡献度弱化；2025年末宽口径债务率558.86%、处于偏高水平，已显著高于公认的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宁波市一般公共预算收入分别为1,785.86亿元、1,790.47亿元、1,795.23亿元，其中税收收入1,464.65亿元、1,434.17亿元、1,476.09亿元，税收占比维持在82.01%、80.10%、82.22%；一般公共预算支出2,235.09亿元、2,230.37亿元、2,104.44亿元，财政自给率79.90%、80.28%、85.31%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政府性基金收入方面，2023、2024、2025年分别为902.21亿元、721.00亿元、535.34亿元，政府性基金收入较2023年累计下降41%、土地财政贡献度弱化，反映地方综合财力对房地产周期的敞口。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图表：2023-2025年宁波市财政收入情况(单位:亿元、%)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1,785.86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1,464.65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1,476.09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2,235.09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2,104.44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-5.65%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902.21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-20.09%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-25.75%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资料来源:宁波市财政决算、企业预警通,风控信评部整理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宁波市经营性用地成交价分别为1,173.01亿元、1,083.56亿元、778.74亿元、501.21亿元、380.61亿元，2025年较2021年下降67.55%；同期平均溢价率为19.48%、4.83%、5.08%、2.90%、4.23%；成交楼面均价由2,791元/㎡降至1,559元/㎡、累计下降44.14%。2026年1-4月，宁波市经营性用地累计成交146宗、规划建面854.57万㎡、成交价130.67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图表:2021-2025年宁波市土地出让情况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4,202.17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2,791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1,173.01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3,970.93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2,729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1,083.56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2,681.07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778.74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2,845.31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1,761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2.90%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501.21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2,437.53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1,559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380.61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854.57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130.67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宁波市商品住宅成交面积由1,289.44万㎡变动至378.53万㎡、累计下降70.6%；新房均价2025年为21,361元/㎡、较2023年高点(23,030元/㎡)累计下跌7.25%；2025年去化周期20.45个月。据中指冰山指数(最低挂牌价口径)，宁波二手房挂牌价较2021年8月高点累计下跌44.45%，2023年累计跌幅-12.51%、2024年累计跌幅-15.42%、2025年累计跌幅-16.97%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宁波市地方政府债务余额分别为3,248.90亿元、3,997.40亿元、4,854.50亿元，2025年末债务限额5,168.35亿元，债务余额控制在限额以内；城投有息债务2025年末估算余额12,295.65亿元。债务率指标看，2025年末政府债务率158.19%、城投债务率400.67%、宽口径债务率558.86%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宁波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