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百色市信用评级报告(区域部分)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百色经济总量列广西壮族自治区第五位，人均GDP约—万元、人均经济实力居省内中游，经济增速由6.20%回落至4.80%、有所放缓；固定资产投资连续负增长（最新-5.60%），经济动能仍有待修复。【待补充：百色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百色市2023、2024、2025年地区生产总值分别为1,894.47亿元、2,030.22亿元、2,101.34亿元，同比增长6.20%、4.80%、4.80%。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产业结构方面，2025年百色市三次产业结构为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2023、2024、2025年固定资产投资增速分别为-25.80%、-2.67%、-5.60%，进出口总额67.55亿美元。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百色市2025年GDP总量2,101.34亿元、列全省第五位，一般公共预算收入165.18亿元、列全省第三位。整体来看，百色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百色市财政体量在广西壮族自治区位居前列，税收占比41.46%、税收占比处于一般水平，但政府性基金收入较2023年累计下降52%、土地财政贡献度弱化；2025年末宽口径债务率188.60%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百色市一般公共预算收入分别为113.24亿元、155.63亿元、165.18亿元，其中税收收入51.59亿元、60.00亿元、68.47亿元，税收占比维持在45.56%、38.55%、41.46%；一般公共预算支出494.62亿元、484.73亿元、495.41亿元，财政自给率22.90%、32.11%、33.34%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政府性基金收入方面，2023、2024、2025年分别为54.96亿元、41.77亿元、26.39亿元，政府性基金收入较2023年累计下降52%、土地财政贡献度弱化，反映地方综合财力对房地产周期的敞口。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图表：2023-2025年百色市财政收入情况(单位:亿元、%)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-36.82%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资料来源:百色市财政决算、企业预警通,风控信评部整理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土地市场方面，【待补充:百色市土地出让与房地产销售数据（土地市场数据库未覆盖该市）】。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百色市地方政府债务余额分别为681.17亿元、782.48亿元、926.68亿元，2025年末债务限额930.13亿元，债务余额控制在限额以内；城投有息债务2025年末估算余额254.70亿元。债务率指标看，2025年末政府债务率147.94%、城投债务率40.66%、宽口径债务率188.60%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百色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