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贵港市信用评级报告(区域部分)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贵港经济总量列广西壮族自治区第九位，人均GDP约3.80万元、人均经济实力在省内相对靠后，经济增速由0.10%回升至5.70%、动能边际改善；固定资产投资最新增速1.80%，经济运行总体平稳。【待补充：贵港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贵港市2023、2024、2025年地区生产总值分别为1,505.84亿元、1,556.30亿元、1,628.44亿元，同比增长0.10%、4.30%、5.70%。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产业结构方面，2025年贵港市三次产业结构为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2023、2024、2025年固定资产投资增速分别为-35.20%、5.79%、1.80%，2025年社会消费品零售总额492.70亿元，进出口总额7.57亿美元。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贵港市2025年GDP总量1,628.44亿元、列全省第九位，一般公共预算收入60.78亿元、列全省第11位。整体来看，贵港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贵港市财政体量在广西壮族自治区处于中游，税收占比59.51%、税收占比处于一般水平，但政府性基金收入较2023年累计下降55%、土地财政贡献度弱化；2025年末宽口径债务率189.58%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贵港市一般公共预算收入分别为72.59亿元、60.71亿元、60.78亿元，其中税收收入38.03亿元、35.09亿元、36.17亿元，税收占比维持在52.39%、57.80%、59.51%；一般公共预算支出327.18亿元、323.75亿元、346.33亿元，财政自给率22.19%、18.75%、17.55%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政府性基金收入方面，2023、2024、2025年分别为40.54亿元、29.52亿元、18.22亿元，政府性基金收入较2023年累计下降55%、土地财政贡献度弱化，反映地方综合财力对房地产周期的敞口。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图表：2023-2025年贵港市财政收入情况(单位:亿元、%)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346.33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-27.18%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-38.28%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资料来源:贵港市财政决算、企业预警通,风控信评部整理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土地市场方面，【待补充:贵港市土地出让与房地产销售数据（土地市场数据库未覆盖该市）】。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贵港市地方政府债务余额分别为480.68亿元、535.18亿元、608.25亿元，2025年末债务限额608.51亿元，债务余额控制在限额以内；城投有息债务2025年末估算余额200.91亿元。债务率指标看，2025年末政府债务率142.51%、城投债务率47.07%、宽口径债务率189.58%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贵港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