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防城港市信用评级报告(区域部分)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防城港经济总量列广西壮族自治区第12位，人均GDP约11.00万元、人均经济实力居全省前列，经济增速由8.70%回落至6.30%、有所放缓；固定资产投资最新增速转负（-6.10%），经济动能仍有待修复。【待补充：防城港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防城港市2023、2024、2025年地区生产总值分别为1,082.62亿元、1,161.26亿元、1,201.26亿元，同比增长8.70%、7.50%、6.30%。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产业结构方面，2025年防城港市三次产业结构为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2023、2024、2025年固定资产投资增速分别为0.90%、15.57%、-6.10%，进出口总额226.25亿美元。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防城港市2025年GDP总量1,201.26亿元、列全省第12位，一般公共预算收入55.93亿元、列全省第13位。整体来看，防城港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防城港市财政体量在广西壮族自治区处于中游，税收占比65.57%、税收质量较好，但政府性基金收入较2023年累计下降16%、土地财政贡献度弱化；2025年末宽口径债务率283.91%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防城港市一般公共预算收入分别为60.11亿元、54.23亿元、55.93亿元，其中税收收入33.57亿元、32.65亿元、36.67亿元，税收占比维持在55.85%、60.21%、65.57%；一般公共预算支出160.65亿元、162.27亿元、163.20亿元，财政自给率37.42%、33.42%、34.27%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政府性基金收入方面，2023、2024、2025年分别为21.29亿元、16.32亿元、17.90亿元，政府性基金收入较2023年累计下降16%、土地财政贡献度弱化，反映地方综合财力对房地产周期的敞口。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图表：2023-2025年防城港市财政收入情况(单位:亿元、%)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资料来源:防城港市财政决算、企业预警通,风控信评部整理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土地市场方面，【待补充:防城港市土地出让与房地产销售数据（土地市场数据库未覆盖该市）】。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防城港市地方政府债务余额分别为293.33亿元、340.16亿元、375.24亿元，2025年末债务限额376.25亿元，债务余额控制在限额以内；城投有息债务2025年末估算余额241.82亿元。债务率指标看，2025年末政府债务率172.65%、城投债务率111.26%、宽口径债务率283.91%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防城港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