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乌鲁木齐市信用评级报告(区域部分)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乌鲁木齐经济总量在新疆维吾尔自治区稳居第一，人均GDP约11.25万元、人均经济实力居全省中游，经济增速由6.00%回落至4.50%、有所放缓；固定资产投资最新增速转负（-4.20%），经济动能仍有待修复。【待补充：乌鲁木齐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乌鲁木齐市2023、2024、2025年地区生产总值分别为4,168.46亿元、4,502.16亿元、4,658.19亿元，同比增长6.00%、5.30%、4.50%。截至2025年末，全市常住人口415.39万人，人均GDP约11.25万元。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产业结构方面，2025年乌鲁木齐市三次产业结构为0.8:27.9:71.3。【待补充：支柱产业、主要龙头企业、对外贸易等定性描述（数据库未覆盖）】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2023、2024、2025年固定资产投资增速分别为12.60%、0.10%、-4.20%，2025年社会消费品零售总额1,283.29亿元，进出口总额137.18亿美元。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图表：2025年新疆维吾尔自治区各地级市主要经济指标对比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乌鲁木齐市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4,658.19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0.8:27.9:71.3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314.39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415.39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伊犁哈萨克自治州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3,470.95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23.3:28.3:48.4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138.63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昌吉回族自治州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2,637.67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11.4:55.5:33.1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276.81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阿克苏地区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2,042.98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22.7:32.4:44.9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169.27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喀什地区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1,752.12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29.8:16:54.2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巴音郭楞蒙古自治州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1,723.53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13.3:50.1:36.6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146.68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克拉玛依市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1,303.96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1.6:69.1:29.3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49.59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哈密市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1,162.59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4.4:67.3:28.3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133.20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塔城地区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1,050.47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38.1:20.8:41.1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吐鲁番市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668.10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15.1:48.7:36.2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70.15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博尔塔拉蒙古自治州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19.4:26.5:54.1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阿勒泰地区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484.21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16.3:29.9:53.8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克孜勒苏柯尔克孜自治州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272.24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11.1:30.1:58.8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和田地区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乌鲁木齐市2025年GDP总量4,658.19亿元、列全省第一位，一般公共预算收入314.39亿元、列全省第一位。整体来看，乌鲁木齐市经济基本面在新疆维吾尔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乌鲁木齐市财政体量在新疆维吾尔自治区稳居第一，税收占比95.23%、税收质量较好，但政府性基金收入较2023年累计增长58%；2025年末宽口径债务率1449.73%、处于偏高水平，已显著高于公认的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乌鲁木齐市一般公共预算收入分别为369.79亿元、371.30亿元、314.39亿元，其中税收收入287.84亿元、267.34亿元、299.40亿元，税收占比维持在77.84%、72.00%、95.23%；一般公共预算支出504.05亿元、465.52亿元、569.06亿元，财政自给率73.36%、79.76%、55.25%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政府性基金收入方面，2023、2024、2025年分别为92.03亿元、92.28亿元、145.24亿元，政府性基金收入较2023年累计增长58%，反映地方综合财力对房地产周期的敞口。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图表：2023-2025年乌鲁木齐市财政收入情况(单位:亿元、%)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369.79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371.30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0.41%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314.39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-15.33%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287.84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267.34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-7.12%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77.84%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95.23%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504.05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465.52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-7.64%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569.06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22.24%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73.36%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79.76%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55.25%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57.39%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资料来源:乌鲁木齐市财政决算、企业预警通,风控信评部整理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土地市场方面，【待补充:乌鲁木齐市土地出让与房地产销售数据（土地市场数据库未覆盖该市）】。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乌鲁木齐市地方政府债务余额分别为1,532.18亿元、2,083.50亿元、2,458.46亿元，2025年末债务限额2,546.68亿元，债务余额控制在限额以内；城投有息债务2025年末估算余额4,211.37亿元。债务率指标看，2025年末政府债务率534.36%、城投债务率915.37%、宽口径债务率1449.73%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乌鲁木齐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