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克拉玛依市信用评级报告(区域部分)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克拉玛依经济总量列新疆维吾尔自治区第七位，人均GDP约26.29万元、人均经济实力居全省前列，经济增速由8.10%回落至4.60%、有所放缓；固定资产投资连续负增长（最新-15.50%），经济动能仍有待修复。【待补充：克拉玛依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克拉玛依市2023、2024、2025年地区生产总值分别为1,260.50亿元、1,327.00亿元、1,303.96亿元，同比增长8.10%、4.00%、4.60%。截至2025年末，全市常住人口49.59万人，人均GDP约26.29万元（按当年GDP与常住人口估算）。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产业结构方面，2025年克拉玛依市三次产业结构为1.6:69.1:29.3。【待补充：支柱产业、主要龙头企业、对外贸易等定性描述（数据库未覆盖）】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2023、2024、2025年固定资产投资增速分别为10.40%、-7.70%、-15.50%，2025年社会消费品零售总额121.42亿元，进出口总额3.40亿美元。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图表：2025年新疆维吾尔自治区各地级市主要经济指标对比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乌鲁木齐市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4,658.19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0.8:27.9:71.3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伊犁哈萨克自治州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3,470.95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23.3:28.3:48.4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昌吉回族自治州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2,637.67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11.4:55.5:33.1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阿克苏地区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22.7:32.4:44.9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喀什地区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29.8:16:54.2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巴音郭楞蒙古自治州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13.3:50.1:36.6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146.68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克拉玛依市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1.6:69.1:29.3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4.4:67.3:28.3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塔城地区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38.1:20.8:41.1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吐鲁番市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15.1:48.7:36.2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博尔塔拉蒙古自治州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19.4:26.5:54.1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阿勒泰地区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16.3:29.9:53.8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克孜勒苏柯尔克孜自治州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272.24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11.1:30.1:58.8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和田地区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克拉玛依市2025年GDP总量1,303.96亿元、列全省第七位，一般公共预算收入106.90亿元、列全省第六位。整体来看，克拉玛依市经济基本面在新疆维吾尔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克拉玛依市财政体量在新疆维吾尔自治区处于中游，税收占比57.34%、税收占比处于一般水平，但政府性基金收入较2023年累计下降24%、土地财政贡献度弱化；2025年末宽口径债务率576.59%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克拉玛依市一般公共预算收入分别为110.55亿元、122.24亿元、106.90亿元，其中税收收入72.65亿元、82.20亿元、61.30亿元，税收占比维持在65.72%、67.24%、57.34%；一般公共预算支出126.76亿元、154.57亿元、174.77亿元，财政自给率87.21%、79.09%、61.17%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政府性基金收入方面，2023、2024、2025年分别为7.74亿元、11.67亿元、5.90亿元，政府性基金收入较2023年累计下降24%、土地财政贡献度弱化，反映地方综合财力对房地产周期的敞口。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图表：2023-2025年克拉玛依市财政收入情况(单位:亿元、%)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-25.43%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-49.44%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资料来源:克拉玛依市财政决算、企业预警通,风控信评部整理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土地市场方面，【待补充:克拉玛依市土地出让与房地产销售数据（土地市场数据库未覆盖该市）】。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克拉玛依市地方政府债务余额分别为263.75亿元、270.25亿元、408.28亿元，2025年末债务限额426.04亿元，债务余额控制在限额以内；城投有息债务2025年末估算余额242.11亿元。债务率指标看，2025年末政府债务率361.96%、城投债务率214.64%、宽口径债务率576.59%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克拉玛依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