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和田地区信用评级报告(区域部分)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和田地区经济总量列新疆维吾尔自治区第14位，人均GDP约—万元、人均经济实力居省内中游，经济增速由5.00%回升至6.60%、动能边际改善；固定资产投资最新增速9.90%，经济运行总体平稳。【待补充：和田地区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和田地区2023、2024、2025年地区生产总值分别为525.91亿元、598.36亿元、—亿元，同比增长5.00%、6.40%、6.60%。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产业结构方面，2025年和田地区三次产业结构为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2023、2024、2025年固定资产投资增速分别为1.10%、2.50%、9.90%，进出口总额4.59亿美元。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图表：2025年新疆维吾尔自治区各地级市主要经济指标对比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乌鲁木齐市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4,658.19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0.8:27.9:71.3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伊犁哈萨克自治州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3,470.95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23.3:28.3:48.4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昌吉回族自治州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2,637.67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11.4:55.5:33.1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阿克苏地区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22.7:32.4:44.9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喀什地区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29.8:16:54.2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巴音郭楞蒙古自治州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13.3:50.1:36.6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146.68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克拉玛依市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1.6:69.1:29.3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4.4:67.3:28.3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塔城地区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38.1:20.8:41.1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吐鲁番市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15.1:48.7:36.2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博尔塔拉蒙古自治州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19.4:26.5:54.1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阿勒泰地区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16.3:29.9:53.8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克孜勒苏柯尔克孜自治州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272.24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11.1:30.1:58.8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和田地区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和田地区2025年GDP总量—亿元、列全省第14位，一般公共预算收入51.73亿元、列全省第11位。整体来看，和田地区经济基本面在新疆维吾尔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和田地区财政体量在新疆维吾尔自治区处于中游，税收占比41.87%、税收占比处于一般水平，但政府性基金收入总体平稳；2025年末宽口径债务率1288.25%、处于偏高水平，已显著高于公认的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和田地区一般公共预算收入分别为49.10亿元、57.02亿元、51.73亿元，其中税收收入24.67亿元、26.54亿元、21.66亿元，税收占比维持在50.24%、46.54%、41.87%；一般公共预算支出460.49亿元、460.62亿元、454.22亿元，财政自给率10.66%、12.38%、11.39%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政府性基金收入方面，2023、2024、2025年分别为13.28亿元、13.96亿元、12.16亿元，政府性基金收入总体平稳，反映地方综合财力对房地产周期的敞口。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图表：2023-2025年和田地区财政收入情况(单位:亿元、%)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-9.28%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454.22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-12.89%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资料来源:和田地区财政决算、企业预警通,风控信评部整理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土地市场方面，【待补充:和田地区土地出让与房地产销售数据（土地市场数据库未覆盖该市）】。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和田地区地方政府债务余额分别为551.20亿元、664.76亿元、811.84亿元，2025年末债务限额818.26亿元，债务余额控制在限额以内；城投有息债务2025年末估算余额19.39亿元。债务率指标看，2025年末政府债务率1258.19%、城投债务率30.06%、宽口径债务率1288.25%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和田地区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