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哈密市信用评级报告(区域部分)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哈密经济总量列新疆维吾尔自治区第八位，人均GDP约17.22万元、人均经济实力居全省前列，经济增速由11.50%回落至9.30%、有所放缓；固定资产投资最新增速35.90%，经济运行总体平稳。【待补充：哈密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哈密市2023、2024、2025年地区生产总值分别为984.50亿元、1,084.39亿元、1,162.59亿元，同比增长11.50%、10.30%、9.30%。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产业结构方面，2025年哈密市三次产业结构为4.4:67.3:28.3。【待补充：支柱产业、主要龙头企业、对外贸易等定性描述（数据库未覆盖）】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2023、2024、2025年固定资产投资增速分别为36.00%、45.90%、35.90%，2025年社会消费品零售总额112.46亿元，进出口总额2.22亿美元。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哈密市2025年GDP总量1,162.59亿元、列全省第八位，一般公共预算收入133.20亿元、列全省第五位。整体来看，哈密市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哈密市财政体量在新疆维吾尔自治区处于中游，税收占比69.59%、税收质量较好，但政府性基金收入较2023年累计增长54%；2025年末宽口径债务率394.91%、处于偏高水平，已显著高于公认的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哈密市一般公共预算收入分别为107.51亿元、120.51亿元、133.20亿元，其中税收收入92.17亿元、100.42亿元、92.70亿元，税收占比维持在85.73%、83.32%、69.59%；一般公共预算支出180.35亿元、199.91亿元、233.43亿元，财政自给率59.61%、60.28%、57.06%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政府性基金收入方面，2023、2024、2025年分别为20.09亿元、18.48亿元、30.94亿元，政府性基金收入较2023年累计增长54%，反映地方综合财力对房地产周期的敞口。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图表：2023-2025年哈密市财政收入情况(单位:亿元、%)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-7.69%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180.35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资料来源:哈密市财政决算、企业预警通,风控信评部整理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土地市场方面，【待补充:哈密市土地出让与房地产销售数据（土地市场数据库未覆盖该市）】。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哈密市地方政府债务余额分别为318.99亿元、354.62亿元、394.83亿元，2025年末债务限额427.95亿元，债务余额控制在限额以内；城投有息债务2025年末估算余额256.43亿元。债务率指标看，2025年末政府债务率239.41%、城投债务率155.49%、宽口径债务率394.91%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哈密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